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F3A5F"/>
          <w:sz w:val="24"/>
          <w:szCs w:val="24"/>
        </w:rPr>
        <w:t xml:space="preserve">BRILWORKS SOFTWARE LLP</w:t>
      </w:r>
    </w:p>
    <w:p>
      <w:pPr>
        <w:spacing w:after="480" w:before="20"/>
      </w:pPr>
      <w:r>
        <w:rPr>
          <w:rFonts w:ascii="Arial" w:cs="Arial" w:eastAsia="Arial" w:hAnsi="Arial"/>
          <w:color w:val="475569"/>
          <w:sz w:val="20"/>
          <w:szCs w:val="20"/>
        </w:rPr>
        <w:t xml:space="preserve">503, Fortune Business Hub, Science City Rd, Sola, Ahmedabad, Gujarat 380060</w:t>
      </w:r>
    </w:p>
    <w:p>
      <w:pPr>
        <w:spacing w:after="80" w:before="200"/>
      </w:pPr>
      <w:r>
        <w:rPr>
          <w:rFonts w:ascii="Arial" w:cs="Arial" w:eastAsia="Arial" w:hAnsi="Arial"/>
          <w:b/>
          <w:bCs/>
          <w:color w:val="92400E"/>
          <w:sz w:val="22"/>
          <w:szCs w:val="22"/>
        </w:rPr>
        <w:t xml:space="preserve">ACTION REQUIRED — BEFORE KICKOFF</w:t>
      </w:r>
    </w:p>
    <w:p>
      <w:pPr>
        <w:spacing w:after="60" w:before="60"/>
      </w:pPr>
      <w:r>
        <w:rPr>
          <w:rFonts w:ascii="Arial" w:cs="Arial" w:eastAsia="Arial" w:hAnsi="Arial"/>
          <w:b/>
          <w:bCs/>
          <w:color w:val="1F3A5F"/>
          <w:sz w:val="48"/>
          <w:szCs w:val="48"/>
        </w:rPr>
        <w:t xml:space="preserve">Phase 1 Engagement Confirmation</w:t>
      </w:r>
    </w:p>
    <w:p>
      <w:pPr>
        <w:spacing w:after="480" w:before="60"/>
      </w:pPr>
      <w:r>
        <w:rPr>
          <w:rFonts w:ascii="Arial" w:cs="Arial" w:eastAsia="Arial" w:hAnsi="Arial"/>
          <w:color w:val="475569"/>
          <w:sz w:val="26"/>
          <w:szCs w:val="26"/>
        </w:rPr>
        <w:t xml:space="preserve">Architecture &amp; scope selection for the Champions Longevity build</w:t>
      </w:r>
    </w:p>
    <w:p>
      <w:pPr>
        <w:pBdr>
          <w:bottom w:val="single" w:color="1F3A5F" w:sz="12" w:space="1"/>
        </w:pBd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8"/>
                <w:szCs w:val="18"/>
              </w:rPr>
              <w:t xml:space="preserve">TO</w:t>
            </w:r>
          </w:p>
          <w:p>
            <w:pPr>
              <w:spacing w:after="20" w:before="40"/>
            </w:pPr>
            <w:r>
              <w:rPr>
                <w:rFonts w:ascii="Arial" w:cs="Arial" w:eastAsia="Arial" w:hAnsi="Arial"/>
                <w:b/>
                <w:bCs/>
                <w:color w:val="1F3A5F"/>
                <w:sz w:val="24"/>
                <w:szCs w:val="24"/>
              </w:rPr>
              <w:t xml:space="preserve">Champions Longevity</w:t>
            </w:r>
          </w:p>
          <w:p>
            <w:pPr>
              <w:spacing w:after="20" w:before="20"/>
            </w:pPr>
            <w:r>
              <w:rPr>
                <w:rFonts w:ascii="Arial" w:cs="Arial" w:eastAsia="Arial" w:hAnsi="Arial"/>
                <w:color w:val="0F172A"/>
                <w:sz w:val="22"/>
                <w:szCs w:val="22"/>
              </w:rPr>
              <w:t xml:space="preserve">Leadership Team</w:t>
            </w:r>
          </w:p>
        </w:tc>
        <w:tc>
          <w:tcPr>
            <w:tcW w:type="dxa" w:w="504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8"/>
                <w:szCs w:val="18"/>
              </w:rPr>
              <w:t xml:space="preserve">FROM</w:t>
            </w:r>
          </w:p>
          <w:p>
            <w:pPr>
              <w:spacing w:after="20" w:before="40"/>
            </w:pPr>
            <w:r>
              <w:rPr>
                <w:rFonts w:ascii="Arial" w:cs="Arial" w:eastAsia="Arial" w:hAnsi="Arial"/>
                <w:b/>
                <w:bCs/>
                <w:color w:val="1F3A5F"/>
                <w:sz w:val="24"/>
                <w:szCs w:val="24"/>
              </w:rPr>
              <w:t xml:space="preserve">Vikas Singh</w:t>
            </w:r>
          </w:p>
          <w:p>
            <w:pPr>
              <w:spacing w:after="20" w:before="20"/>
            </w:pPr>
            <w:r>
              <w:rPr>
                <w:rFonts w:ascii="Arial" w:cs="Arial" w:eastAsia="Arial" w:hAnsi="Arial"/>
                <w:color w:val="0F172A"/>
                <w:sz w:val="22"/>
                <w:szCs w:val="22"/>
              </w:rPr>
              <w:t xml:space="preserve">CTO, Brilworks Technology Pvt Ltd</w:t>
            </w:r>
          </w:p>
          <w:p>
            <w:pPr>
              <w:spacing w:after="20" w:before="20"/>
            </w:pPr>
            <w:r>
              <w:rPr>
                <w:rFonts w:ascii="Arial" w:cs="Arial" w:eastAsia="Arial" w:hAnsi="Arial"/>
                <w:color w:val="475569"/>
                <w:sz w:val="20"/>
                <w:szCs w:val="20"/>
              </w:rPr>
              <w:t xml:space="preserve">vikas@brilworks.com  •  +91-8866518364</w:t>
            </w:r>
          </w:p>
        </w:tc>
      </w:tr>
      <w:tr>
        <w:tc>
          <w:tcPr>
            <w:tcW w:type="dxa" w:w="504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8"/>
                <w:szCs w:val="18"/>
              </w:rPr>
              <w:t xml:space="preserve">DATE</w:t>
            </w:r>
          </w:p>
          <w:p>
            <w:pPr>
              <w:spacing w:after="20" w:before="40"/>
            </w:pPr>
            <w:r>
              <w:rPr>
                <w:rFonts w:ascii="Arial" w:cs="Arial" w:eastAsia="Arial" w:hAnsi="Arial"/>
                <w:b/>
                <w:bCs/>
                <w:color w:val="1F3A5F"/>
                <w:sz w:val="22"/>
                <w:szCs w:val="22"/>
              </w:rPr>
              <w:t xml:space="preserve">May 18, 2026</w:t>
            </w:r>
          </w:p>
        </w:tc>
        <w:tc>
          <w:tcPr>
            <w:tcW w:type="dxa" w:w="504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8"/>
                <w:szCs w:val="18"/>
              </w:rPr>
              <w:t xml:space="preserve">RESPONSE REQUESTED BY</w:t>
            </w:r>
          </w:p>
          <w:p>
            <w:pPr>
              <w:spacing w:after="20" w:before="40"/>
            </w:pPr>
            <w:r>
              <w:rPr>
                <w:rFonts w:ascii="Arial" w:cs="Arial" w:eastAsia="Arial" w:hAnsi="Arial"/>
                <w:b/>
                <w:bCs/>
                <w:color w:val="92400E"/>
                <w:sz w:val="22"/>
                <w:szCs w:val="22"/>
              </w:rPr>
              <w:t xml:space="preserve">____________________________ (5 business days)</w:t>
            </w:r>
          </w:p>
        </w:tc>
      </w:tr>
    </w:tbl>
    <w:p>
      <w:r>
        <w:br w:type="page"/>
      </w:r>
    </w:p>
    <w:p>
      <w:pPr>
        <w:pStyle w:val="Heading1"/>
        <w:spacing w:after="200" w:before="360"/>
      </w:pPr>
      <w:r>
        <w:rPr>
          <w:rFonts w:ascii="Arial" w:cs="Arial" w:eastAsia="Arial" w:hAnsi="Arial"/>
          <w:b/>
          <w:bCs/>
          <w:color w:val="1F3A5F"/>
          <w:sz w:val="36"/>
          <w:szCs w:val="36"/>
        </w:rPr>
        <w:t xml:space="preserve">A short note before we kick off</w:t>
      </w:r>
    </w:p>
    <w:p>
      <w:pPr>
        <w:spacing w:after="80" w:before="80"/>
      </w:pPr>
      <w:r>
        <w:rPr>
          <w:rFonts w:ascii="Arial" w:cs="Arial" w:eastAsia="Arial" w:hAnsi="Arial"/>
          <w:color w:val="0F172A"/>
          <w:sz w:val="22"/>
          <w:szCs w:val="22"/>
        </w:rPr>
        <w:t xml:space="preserve">Dear Champions Longevity team,</w:t>
      </w:r>
    </w:p>
    <w:p>
      <w:pPr>
        <w:spacing w:after="80" w:before="80"/>
      </w:pPr>
      <w:r>
        <w:rPr>
          <w:rFonts w:ascii="Arial" w:cs="Arial" w:eastAsia="Arial" w:hAnsi="Arial"/>
          <w:color w:val="0F172A"/>
          <w:sz w:val="22"/>
          <w:szCs w:val="22"/>
        </w:rPr>
        <w:t xml:space="preserve">Over the past few weeks, we have shared two documents with you for the upcoming Phase 1 build:</w:t>
      </w:r>
    </w:p>
    <w:p>
      <w:pPr>
        <w:pStyle w:val="ListParagraph"/>
        <w:numPr>
          <w:ilvl w:val="0"/>
          <w:numId w:val="2"/>
        </w:numPr>
        <w:spacing w:after="40" w:before="40"/>
      </w:pPr>
      <w:r>
        <w:rPr>
          <w:rFonts w:ascii="Arial" w:cs="Arial" w:eastAsia="Arial" w:hAnsi="Arial"/>
          <w:b/>
          <w:bCs/>
          <w:color w:val="0F172A"/>
          <w:sz w:val="22"/>
          <w:szCs w:val="22"/>
        </w:rPr>
        <w:t xml:space="preserve">The Lean MVP Scope of Work </w:t>
      </w:r>
      <w:r>
        <w:rPr>
          <w:rFonts w:ascii="Arial" w:cs="Arial" w:eastAsia="Arial" w:hAnsi="Arial"/>
          <w:color w:val="0F172A"/>
          <w:sz w:val="22"/>
          <w:szCs w:val="22"/>
        </w:rPr>
        <w:t xml:space="preserve">— ₹45 – 50 Lakh, 12 – 14 weeks, structured around 8 functional modules.</w:t>
      </w:r>
    </w:p>
    <w:p>
      <w:pPr>
        <w:pStyle w:val="ListParagraph"/>
        <w:numPr>
          <w:ilvl w:val="0"/>
          <w:numId w:val="2"/>
        </w:numPr>
        <w:spacing w:after="40" w:before="40"/>
      </w:pPr>
      <w:r>
        <w:rPr>
          <w:rFonts w:ascii="Arial" w:cs="Arial" w:eastAsia="Arial" w:hAnsi="Arial"/>
          <w:b/>
          <w:bCs/>
          <w:color w:val="0F172A"/>
          <w:sz w:val="22"/>
          <w:szCs w:val="22"/>
        </w:rPr>
        <w:t xml:space="preserve">The Technical Q&amp;A (Phase 1) </w:t>
      </w:r>
      <w:r>
        <w:rPr>
          <w:rFonts w:ascii="Arial" w:cs="Arial" w:eastAsia="Arial" w:hAnsi="Arial"/>
          <w:color w:val="0F172A"/>
          <w:sz w:val="22"/>
          <w:szCs w:val="22"/>
        </w:rPr>
        <w:t xml:space="preserve">— a detailed architecture document answering the standard CTO-level due-diligence questions.</w:t>
      </w:r>
    </w:p>
    <w:p>
      <w:pPr>
        <w:spacing w:after="80" w:before="80"/>
      </w:pPr>
      <w:r>
        <w:rPr>
          <w:rFonts w:ascii="Arial" w:cs="Arial" w:eastAsia="Arial" w:hAnsi="Arial"/>
          <w:color w:val="0F172A"/>
          <w:sz w:val="22"/>
          <w:szCs w:val="22"/>
        </w:rPr>
        <w:t xml:space="preserve">On reviewing both side-by-side, we want to flag — proactively, before kickoff — that the two documents describe the same product at two different levels of architectural ambition. The SOW prices a fast-to-market lean build on Supabase + single-target deploy. The Q&amp;A commits to a production-grade enterprise architecture (self-managed Postgres + TimescaleDB + Redis on AWS, multi-LLM with observability, HIPAA + GDPR-ready, structured handover).</w:t>
      </w:r>
    </w:p>
    <w:p>
      <w:pPr>
        <w:spacing w:after="80" w:before="80"/>
      </w:pPr>
      <w:r>
        <w:rPr>
          <w:rFonts w:ascii="Arial" w:cs="Arial" w:eastAsia="Arial" w:hAnsi="Arial"/>
          <w:color w:val="0F172A"/>
          <w:sz w:val="22"/>
          <w:szCs w:val="22"/>
        </w:rPr>
        <w:t xml:space="preserve">Both versions of the product are deliverable. They just have different cost, timeline, and team-size implications. We would much rather surface this now and let you choose than discover the gap in Week 8 and have an uncomfortable scope-creep conversation.</w:t>
      </w:r>
    </w:p>
    <w:p>
      <w:pPr>
        <w:spacing w:after="80" w:before="80"/>
      </w:pPr>
      <w:r>
        <w:rPr>
          <w:rFonts w:ascii="Arial" w:cs="Arial" w:eastAsia="Arial" w:hAnsi="Arial"/>
          <w:color w:val="0F172A"/>
          <w:sz w:val="22"/>
          <w:szCs w:val="22"/>
        </w:rPr>
        <w:t xml:space="preserve">This document presents three clean options for Phase 1. Please review, indicate your selection on the last page, and return it signed. Once we receive your selection, we will issue a revised SOW (and, where applicable, a revised Q&amp;A) that matches it exactly — and we will kick off the build.</w:t>
      </w:r>
    </w:p>
    <w:p>
      <w:pPr>
        <w:spacing w:after="80" w:before="80"/>
      </w:pPr>
      <w:r>
        <w:rPr>
          <w:rFonts w:ascii="Arial" w:cs="Arial" w:eastAsia="Arial" w:hAnsi="Arial"/>
          <w:color w:val="0F172A"/>
          <w:sz w:val="22"/>
          <w:szCs w:val="22"/>
        </w:rPr>
        <w:t xml:space="preserve">Happy to discuss any of this on a call before you decide. Just reply to this thread.</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Warm regards,</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b/>
          <w:bCs/>
          <w:color w:val="1F3A5F"/>
          <w:sz w:val="22"/>
          <w:szCs w:val="22"/>
        </w:rPr>
        <w:t xml:space="preserve">Vikas Singh</w:t>
      </w:r>
    </w:p>
    <w:p>
      <w:pPr>
        <w:spacing w:after="80" w:before="80"/>
      </w:pPr>
      <w:r>
        <w:rPr>
          <w:rFonts w:ascii="Arial" w:cs="Arial" w:eastAsia="Arial" w:hAnsi="Arial"/>
          <w:color w:val="475569"/>
          <w:sz w:val="22"/>
          <w:szCs w:val="22"/>
        </w:rPr>
        <w:t xml:space="preserve">CTO, Brilworks Technology Pvt Ltd</w:t>
      </w:r>
    </w:p>
    <w:p>
      <w:r>
        <w:br w:type="page"/>
      </w:r>
    </w:p>
    <w:p>
      <w:pPr>
        <w:pStyle w:val="Heading1"/>
        <w:spacing w:after="200" w:before="360"/>
      </w:pPr>
      <w:r>
        <w:rPr>
          <w:rFonts w:ascii="Arial" w:cs="Arial" w:eastAsia="Arial" w:hAnsi="Arial"/>
          <w:b/>
          <w:bCs/>
          <w:color w:val="1F3A5F"/>
          <w:sz w:val="36"/>
          <w:szCs w:val="36"/>
        </w:rPr>
        <w:t xml:space="preserve">Your three options at a glance</w:t>
      </w:r>
    </w:p>
    <w:p>
      <w:pPr>
        <w:spacing w:after="80" w:before="80"/>
      </w:pPr>
      <w:r>
        <w:rPr>
          <w:rFonts w:ascii="Arial" w:cs="Arial" w:eastAsia="Arial" w:hAnsi="Arial"/>
          <w:color w:val="0F172A"/>
          <w:sz w:val="22"/>
          <w:szCs w:val="22"/>
        </w:rPr>
        <w:t xml:space="preserve">Same product. Three levels of architectural ambition. Pick the one that matches your near-term plans:</w:t>
      </w:r>
    </w:p>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jc w:val="center"/>
            </w:pPr>
            <w:r>
              <w:rPr>
                <w:rFonts w:ascii="Arial" w:cs="Arial" w:eastAsia="Arial" w:hAnsi="Arial"/>
                <w:b/>
                <w:bCs/>
                <w:color w:val="FFFFFF"/>
                <w:sz w:val="28"/>
                <w:szCs w:val="28"/>
              </w:rPr>
              <w:t xml:space="preserve">Option A</w:t>
            </w:r>
          </w:p>
        </w:tc>
        <w:tc>
          <w:tcPr>
            <w:tcW w:type="dxa" w:w="336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jc w:val="center"/>
            </w:pPr>
            <w:r>
              <w:rPr>
                <w:rFonts w:ascii="Arial" w:cs="Arial" w:eastAsia="Arial" w:hAnsi="Arial"/>
                <w:b/>
                <w:bCs/>
                <w:color w:val="FFFFFF"/>
                <w:sz w:val="28"/>
                <w:szCs w:val="28"/>
              </w:rPr>
              <w:t xml:space="preserve">Option B</w:t>
            </w:r>
          </w:p>
        </w:tc>
        <w:tc>
          <w:tcPr>
            <w:tcW w:type="dxa" w:w="3360"/>
            <w:tcBorders>
              <w:top w:val="single" w:color="CBD5E1" w:sz="6"/>
              <w:left w:val="single" w:color="CBD5E1" w:sz="6"/>
              <w:bottom w:val="single" w:color="CBD5E1" w:sz="6"/>
              <w:right w:val="single" w:color="CBD5E1" w:sz="6"/>
            </w:tcBorders>
            <w:shd w:fill="166534" w:val="clear"/>
            <w:tcMar>
              <w:top w:type="dxa" w:w="100"/>
              <w:left w:type="dxa" w:w="140"/>
              <w:bottom w:type="dxa" w:w="100"/>
              <w:right w:type="dxa" w:w="140"/>
            </w:tcMar>
          </w:tcPr>
          <w:p>
            <w:pPr>
              <w:spacing w:after="40" w:before="40"/>
              <w:jc w:val="center"/>
            </w:pPr>
            <w:r>
              <w:rPr>
                <w:rFonts w:ascii="Arial" w:cs="Arial" w:eastAsia="Arial" w:hAnsi="Arial"/>
                <w:b/>
                <w:bCs/>
                <w:color w:val="FFFFFF"/>
                <w:sz w:val="28"/>
                <w:szCs w:val="28"/>
              </w:rPr>
              <w:t xml:space="preserve">Option C</w:t>
            </w:r>
          </w:p>
        </w:tc>
      </w:tr>
      <w:tr>
        <w:tc>
          <w:tcPr>
            <w:tcW w:type="dxa" w:w="33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1F3A5F"/>
                <w:sz w:val="20"/>
                <w:szCs w:val="20"/>
              </w:rPr>
              <w:t xml:space="preserve">Full Enterprise Architecture</w:t>
            </w:r>
          </w:p>
        </w:tc>
        <w:tc>
          <w:tcPr>
            <w:tcW w:type="dxa" w:w="33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1F3A5F"/>
                <w:sz w:val="20"/>
                <w:szCs w:val="20"/>
              </w:rPr>
              <w:t xml:space="preserve">Lean MVP (Original Pricing)</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jc w:val="center"/>
            </w:pPr>
            <w:r>
              <w:rPr>
                <w:rFonts w:ascii="Arial" w:cs="Arial" w:eastAsia="Arial" w:hAnsi="Arial"/>
                <w:b/>
                <w:bCs/>
                <w:color w:val="166534"/>
                <w:sz w:val="20"/>
                <w:szCs w:val="20"/>
              </w:rPr>
              <w:t xml:space="preserve">Tiered Adoption (Recommended)</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60" w:before="40"/>
              <w:jc w:val="center"/>
            </w:pPr>
            <w:r>
              <w:rPr>
                <w:rFonts w:ascii="Arial" w:cs="Arial" w:eastAsia="Arial" w:hAnsi="Arial"/>
                <w:b/>
                <w:bCs/>
                <w:color w:val="1F3A5F"/>
                <w:sz w:val="28"/>
                <w:szCs w:val="28"/>
              </w:rPr>
              <w:t xml:space="preserve">₹65 – 79 Lakh</w:t>
            </w:r>
          </w:p>
          <w:p>
            <w:pPr>
              <w:spacing w:after="80" w:before="0"/>
              <w:jc w:val="center"/>
            </w:pPr>
            <w:r>
              <w:rPr>
                <w:rFonts w:ascii="Arial" w:cs="Arial" w:eastAsia="Arial" w:hAnsi="Arial"/>
                <w:color w:val="475569"/>
                <w:sz w:val="18"/>
                <w:szCs w:val="18"/>
              </w:rPr>
              <w:t xml:space="preserve">excl. GST</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60" w:before="40"/>
              <w:jc w:val="center"/>
            </w:pPr>
            <w:r>
              <w:rPr>
                <w:rFonts w:ascii="Arial" w:cs="Arial" w:eastAsia="Arial" w:hAnsi="Arial"/>
                <w:b/>
                <w:bCs/>
                <w:color w:val="1F3A5F"/>
                <w:sz w:val="28"/>
                <w:szCs w:val="28"/>
              </w:rPr>
              <w:t xml:space="preserve">₹45 – 50 Lakh</w:t>
            </w:r>
          </w:p>
          <w:p>
            <w:pPr>
              <w:spacing w:after="80" w:before="0"/>
              <w:jc w:val="center"/>
            </w:pPr>
            <w:r>
              <w:rPr>
                <w:rFonts w:ascii="Arial" w:cs="Arial" w:eastAsia="Arial" w:hAnsi="Arial"/>
                <w:color w:val="475569"/>
                <w:sz w:val="18"/>
                <w:szCs w:val="18"/>
              </w:rPr>
              <w:t xml:space="preserve">excl. GST  (unchanged)</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60" w:before="40"/>
              <w:jc w:val="center"/>
            </w:pPr>
            <w:r>
              <w:rPr>
                <w:rFonts w:ascii="Arial" w:cs="Arial" w:eastAsia="Arial" w:hAnsi="Arial"/>
                <w:b/>
                <w:bCs/>
                <w:color w:val="166534"/>
                <w:sz w:val="28"/>
                <w:szCs w:val="28"/>
              </w:rPr>
              <w:t xml:space="preserve">₹52 – 62 Lakh</w:t>
            </w:r>
          </w:p>
          <w:p>
            <w:pPr>
              <w:spacing w:after="80" w:before="0"/>
              <w:jc w:val="center"/>
            </w:pPr>
            <w:r>
              <w:rPr>
                <w:rFonts w:ascii="Arial" w:cs="Arial" w:eastAsia="Arial" w:hAnsi="Arial"/>
                <w:color w:val="475569"/>
                <w:sz w:val="18"/>
                <w:szCs w:val="18"/>
              </w:rPr>
              <w:t xml:space="preserve">excl. GST</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b/>
                <w:bCs/>
                <w:color w:val="0F172A"/>
                <w:sz w:val="22"/>
                <w:szCs w:val="22"/>
              </w:rPr>
              <w:t xml:space="preserve">17 – 21 weeks</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b/>
                <w:bCs/>
                <w:color w:val="0F172A"/>
                <w:sz w:val="22"/>
                <w:szCs w:val="22"/>
              </w:rPr>
              <w:t xml:space="preserve">12 – 14 weeks</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jc w:val="center"/>
            </w:pPr>
            <w:r>
              <w:rPr>
                <w:rFonts w:ascii="Arial" w:cs="Arial" w:eastAsia="Arial" w:hAnsi="Arial"/>
                <w:b/>
                <w:bCs/>
                <w:color w:val="166534"/>
                <w:sz w:val="22"/>
                <w:szCs w:val="22"/>
              </w:rPr>
              <w:t xml:space="preserve">15 – 17 weeks</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color w:val="0F172A"/>
                <w:sz w:val="20"/>
                <w:szCs w:val="20"/>
              </w:rPr>
              <w:t xml:space="preserve">7 – 8 engineers</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color w:val="0F172A"/>
                <w:sz w:val="20"/>
                <w:szCs w:val="20"/>
              </w:rPr>
              <w:t xml:space="preserve">5 – 6 engineers</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jc w:val="center"/>
            </w:pPr>
            <w:r>
              <w:rPr>
                <w:rFonts w:ascii="Arial" w:cs="Arial" w:eastAsia="Arial" w:hAnsi="Arial"/>
                <w:color w:val="0F172A"/>
                <w:sz w:val="20"/>
                <w:szCs w:val="20"/>
              </w:rPr>
              <w:t xml:space="preserve">6 – 7 engineers</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ARCHITECTURE</w:t>
            </w:r>
          </w:p>
          <w:p>
            <w:pPr>
              <w:spacing w:after="40" w:before="0"/>
            </w:pPr>
            <w:r>
              <w:rPr>
                <w:rFonts w:ascii="Arial" w:cs="Arial" w:eastAsia="Arial" w:hAnsi="Arial"/>
                <w:sz w:val="20"/>
                <w:szCs w:val="20"/>
              </w:rPr>
              <w:t xml:space="preserve">Self-managed Postgres + TimescaleDB + Redis on AWS Mumbai. Multi-LLM (Claude + OpenAI) with Langfuse. Full AWS observability stack.</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ARCHITECTURE</w:t>
            </w:r>
          </w:p>
          <w:p>
            <w:pPr>
              <w:spacing w:after="40" w:before="0"/>
            </w:pPr>
            <w:r>
              <w:rPr>
                <w:rFonts w:ascii="Arial" w:cs="Arial" w:eastAsia="Arial" w:hAnsi="Arial"/>
                <w:sz w:val="20"/>
                <w:szCs w:val="20"/>
              </w:rPr>
              <w:t xml:space="preserve">Supabase BaaS + single-target deploy (Vercel / Railway). OpenAI only with simple RAG. Sentry + Mixpanel monitoring.</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ARCHITECTURE</w:t>
            </w:r>
          </w:p>
          <w:p>
            <w:pPr>
              <w:spacing w:after="40" w:before="0"/>
            </w:pPr>
            <w:r>
              <w:rPr>
                <w:rFonts w:ascii="Arial" w:cs="Arial" w:eastAsia="Arial" w:hAnsi="Arial"/>
                <w:sz w:val="20"/>
                <w:szCs w:val="20"/>
              </w:rPr>
              <w:t xml:space="preserve">Supabase BaaS + single-target deploy. OpenAI only. HIPAA + GDPR + OWASP + audit log + expanded monitoring fully delivered.</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COMPLIANCE</w:t>
            </w:r>
          </w:p>
          <w:p>
            <w:pPr>
              <w:spacing w:after="40" w:before="0"/>
            </w:pPr>
            <w:r>
              <w:rPr>
                <w:rFonts w:ascii="Arial" w:cs="Arial" w:eastAsia="Arial" w:hAnsi="Arial"/>
                <w:sz w:val="20"/>
                <w:szCs w:val="20"/>
              </w:rPr>
              <w:t xml:space="preserve">HIPAA + GDPR-ready at launch. SOC 2-audit-ready architecture.</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COMPLIANCE</w:t>
            </w:r>
          </w:p>
          <w:p>
            <w:pPr>
              <w:spacing w:after="40" w:before="0"/>
            </w:pPr>
            <w:r>
              <w:rPr>
                <w:rFonts w:ascii="Arial" w:cs="Arial" w:eastAsia="Arial" w:hAnsi="Arial"/>
                <w:sz w:val="20"/>
                <w:szCs w:val="20"/>
              </w:rPr>
              <w:t xml:space="preserve">HIPAA-aligned but not formally HIPAA-ready. GDPR basics only.</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COMPLIANCE</w:t>
            </w:r>
          </w:p>
          <w:p>
            <w:pPr>
              <w:spacing w:after="40" w:before="0"/>
            </w:pPr>
            <w:r>
              <w:rPr>
                <w:rFonts w:ascii="Arial" w:cs="Arial" w:eastAsia="Arial" w:hAnsi="Arial"/>
                <w:sz w:val="20"/>
                <w:szCs w:val="20"/>
              </w:rPr>
              <w:t xml:space="preserve">HIPAA-ready at launch. GDPR features delivered. OWASP mitigations + audit log.</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HANDOVER</w:t>
            </w:r>
          </w:p>
          <w:p>
            <w:pPr>
              <w:spacing w:after="40" w:before="0"/>
            </w:pPr>
            <w:r>
              <w:rPr>
                <w:rFonts w:ascii="Arial" w:cs="Arial" w:eastAsia="Arial" w:hAnsi="Arial"/>
                <w:sz w:val="20"/>
                <w:szCs w:val="20"/>
              </w:rPr>
              <w:t xml:space="preserve">Architecture + ER diagrams, deployment guide, production runbook, structured 6-area KT.</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HANDOVER</w:t>
            </w:r>
          </w:p>
          <w:p>
            <w:pPr>
              <w:spacing w:after="40" w:before="0"/>
            </w:pPr>
            <w:r>
              <w:rPr>
                <w:rFonts w:ascii="Arial" w:cs="Arial" w:eastAsia="Arial" w:hAnsi="Arial"/>
                <w:sz w:val="20"/>
                <w:szCs w:val="20"/>
              </w:rPr>
              <w:t xml:space="preserve">Code repo + README + .env.example. Light walkthrough at launch.</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HANDOVER</w:t>
            </w:r>
          </w:p>
          <w:p>
            <w:pPr>
              <w:spacing w:after="40" w:before="0"/>
            </w:pPr>
            <w:r>
              <w:rPr>
                <w:rFonts w:ascii="Arial" w:cs="Arial" w:eastAsia="Arial" w:hAnsi="Arial"/>
                <w:sz w:val="20"/>
                <w:szCs w:val="20"/>
              </w:rPr>
              <w:t xml:space="preserve">Architecture diagram, deployment guide, 3-area structured KT.</w:t>
            </w:r>
          </w:p>
        </w:tc>
      </w:tr>
      <w:tr>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BEST IF YOU…</w:t>
            </w:r>
          </w:p>
          <w:p>
            <w:pPr>
              <w:spacing w:after="40" w:before="0"/>
            </w:pPr>
            <w:r>
              <w:rPr>
                <w:rFonts w:ascii="Arial" w:cs="Arial" w:eastAsia="Arial" w:hAnsi="Arial"/>
                <w:sz w:val="20"/>
                <w:szCs w:val="20"/>
              </w:rPr>
              <w:t xml:space="preserve">Are raising Series A or onboarding named clinical partners in the next 6 months.</w:t>
            </w:r>
          </w:p>
        </w:tc>
        <w:tc>
          <w:tcPr>
            <w:tcW w:type="dxa" w:w="33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BEST IF YOU…</w:t>
            </w:r>
          </w:p>
          <w:p>
            <w:pPr>
              <w:spacing w:after="40" w:before="0"/>
            </w:pPr>
            <w:r>
              <w:rPr>
                <w:rFonts w:ascii="Arial" w:cs="Arial" w:eastAsia="Arial" w:hAnsi="Arial"/>
                <w:sz w:val="20"/>
                <w:szCs w:val="20"/>
              </w:rPr>
              <w:t xml:space="preserve">Are bootstrapped / seed stage, optimising for runway, with no near-term DD on the horizon.</w:t>
            </w:r>
          </w:p>
        </w:tc>
        <w:tc>
          <w:tcPr>
            <w:tcW w:type="dxa" w:w="336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pPr>
            <w:r>
              <w:rPr>
                <w:rFonts w:ascii="Arial" w:cs="Arial" w:eastAsia="Arial" w:hAnsi="Arial"/>
                <w:b/>
                <w:bCs/>
                <w:color w:val="475569"/>
                <w:sz w:val="16"/>
                <w:szCs w:val="16"/>
              </w:rPr>
              <w:t xml:space="preserve">BEST IF YOU…</w:t>
            </w:r>
          </w:p>
          <w:p>
            <w:pPr>
              <w:spacing w:after="40" w:before="0"/>
            </w:pPr>
            <w:r>
              <w:rPr>
                <w:rFonts w:ascii="Arial" w:cs="Arial" w:eastAsia="Arial" w:hAnsi="Arial"/>
                <w:sz w:val="20"/>
                <w:szCs w:val="20"/>
              </w:rPr>
              <w:t xml:space="preserve">Are unsure, or focused on validation with a cautious fundraise in 6 – 12 months.</w:t>
            </w:r>
          </w:p>
        </w:tc>
      </w:tr>
    </w:tbl>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6"/>
              <w:left w:val="single" w:color="1E40AF" w:sz="6"/>
              <w:bottom w:val="single" w:color="1E40AF" w:sz="6"/>
              <w:right w:val="single" w:color="1E40AF" w:sz="6"/>
            </w:tcBorders>
            <w:shd w:fill="DBEAFE" w:val="clear"/>
            <w:tcMar>
              <w:top w:type="dxa" w:w="160"/>
              <w:left w:type="dxa" w:w="200"/>
              <w:bottom w:type="dxa" w:w="160"/>
              <w:right w:type="dxa" w:w="200"/>
            </w:tcMar>
          </w:tcPr>
          <w:p>
            <w:pPr>
              <w:spacing w:after="80" w:before="40"/>
            </w:pPr>
            <w:r>
              <w:rPr>
                <w:rFonts w:ascii="Arial" w:cs="Arial" w:eastAsia="Arial" w:hAnsi="Arial"/>
                <w:b/>
                <w:bCs/>
                <w:color w:val="1E40AF"/>
                <w:sz w:val="24"/>
                <w:szCs w:val="24"/>
              </w:rPr>
              <w:t xml:space="preserve">Important:</w:t>
            </w:r>
          </w:p>
          <w:p>
            <w:pPr>
              <w:spacing w:after="40" w:before="0"/>
            </w:pPr>
            <w:r>
              <w:rPr>
                <w:rFonts w:ascii="Arial" w:cs="Arial" w:eastAsia="Arial" w:hAnsi="Arial"/>
                <w:color w:val="0F172A"/>
                <w:sz w:val="22"/>
                <w:szCs w:val="22"/>
              </w:rPr>
              <w:t xml:space="preserve">All three options ship the same 8 functional modules — the user-facing product surface area is identical. What differs is the depth of the technical implementation (stack, security, compliance, handover) — the parts of the build that show up in technical due diligence, not in user demos.</w:t>
            </w:r>
          </w:p>
        </w:tc>
      </w:tr>
    </w:tbl>
    <w:p>
      <w:r>
        <w:br w:type="page"/>
      </w:r>
    </w:p>
    <w:p>
      <w:pPr>
        <w:pStyle w:val="Heading1"/>
        <w:spacing w:after="200" w:before="360"/>
      </w:pPr>
      <w:r>
        <w:rPr>
          <w:rFonts w:ascii="Arial" w:cs="Arial" w:eastAsia="Arial" w:hAnsi="Arial"/>
          <w:b/>
          <w:bCs/>
          <w:color w:val="1F3A5F"/>
          <w:sz w:val="36"/>
          <w:szCs w:val="36"/>
        </w:rPr>
        <w:t xml:space="preserve">How to decide — a 3-question test</w:t>
      </w:r>
    </w:p>
    <w:p>
      <w:pPr>
        <w:spacing w:after="80" w:before="80"/>
      </w:pPr>
      <w:r>
        <w:rPr>
          <w:rFonts w:ascii="Arial" w:cs="Arial" w:eastAsia="Arial" w:hAnsi="Arial"/>
          <w:color w:val="0F172A"/>
          <w:sz w:val="22"/>
          <w:szCs w:val="22"/>
        </w:rPr>
        <w:t xml:space="preserve">If you answer YES to any of the questions below, the option in brackets is likely the right fit. If two or three answers point to the same option, that's almost certainly your choice.</w:t>
      </w:r>
    </w:p>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1800"/>
      </w:tblGrid>
      <w:tr>
        <w:trPr>
          <w:tblHeader/>
        </w:trPr>
        <w:tc>
          <w:tcPr>
            <w:tcW w:type="dxa" w:w="80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jc w:val="center"/>
            </w:pPr>
            <w:r>
              <w:rPr>
                <w:rFonts w:ascii="Arial" w:cs="Arial" w:eastAsia="Arial" w:hAnsi="Arial"/>
                <w:b/>
                <w:bCs/>
                <w:color w:val="FFFFFF"/>
                <w:sz w:val="20"/>
                <w:szCs w:val="20"/>
              </w:rPr>
              <w:t xml:space="preserve">#</w:t>
            </w:r>
          </w:p>
        </w:tc>
        <w:tc>
          <w:tcPr>
            <w:tcW w:type="dxa" w:w="748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Question</w:t>
            </w:r>
          </w:p>
        </w:tc>
        <w:tc>
          <w:tcPr>
            <w:tcW w:type="dxa" w:w="180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jc w:val="center"/>
            </w:pPr>
            <w:r>
              <w:rPr>
                <w:rFonts w:ascii="Arial" w:cs="Arial" w:eastAsia="Arial" w:hAnsi="Arial"/>
                <w:b/>
                <w:bCs/>
                <w:color w:val="FFFFFF"/>
                <w:sz w:val="20"/>
                <w:szCs w:val="20"/>
              </w:rPr>
              <w:t xml:space="preserve">Points to</w:t>
            </w:r>
          </w:p>
        </w:tc>
      </w:tr>
      <w:tr>
        <w:tc>
          <w:tcPr>
            <w:tcW w:type="dxa" w:w="8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0F172A"/>
                <w:sz w:val="24"/>
                <w:szCs w:val="24"/>
              </w:rPr>
              <w:t xml:space="preserve">1</w:t>
            </w:r>
          </w:p>
        </w:tc>
        <w:tc>
          <w:tcPr>
            <w:tcW w:type="dxa" w:w="748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pPr>
            <w:r>
              <w:rPr>
                <w:rFonts w:ascii="Arial" w:cs="Arial" w:eastAsia="Arial" w:hAnsi="Arial"/>
                <w:color w:val="0F172A"/>
                <w:sz w:val="20"/>
                <w:szCs w:val="20"/>
              </w:rPr>
              <w:t xml:space="preserve">Are you planning an institutional fundraise (Series A or larger) or onboarding a named hospital / pharma / insurance partner within 6 months of launch?</w:t>
            </w:r>
          </w:p>
        </w:tc>
        <w:tc>
          <w:tcPr>
            <w:tcW w:type="dxa" w:w="18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1F3A5F"/>
                <w:sz w:val="20"/>
                <w:szCs w:val="20"/>
              </w:rPr>
              <w:t xml:space="preserve">Option A</w:t>
            </w:r>
          </w:p>
        </w:tc>
      </w:tr>
      <w:tr>
        <w:tc>
          <w:tcPr>
            <w:tcW w:type="dxa" w:w="80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b/>
                <w:bCs/>
                <w:color w:val="0F172A"/>
                <w:sz w:val="24"/>
                <w:szCs w:val="24"/>
              </w:rPr>
              <w:t xml:space="preserve">2</w:t>
            </w:r>
          </w:p>
        </w:tc>
        <w:tc>
          <w:tcPr>
            <w:tcW w:type="dxa" w:w="748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color w:val="0F172A"/>
                <w:sz w:val="20"/>
                <w:szCs w:val="20"/>
              </w:rPr>
              <w:t xml:space="preserve">Is time-to-market the single biggest constraint, with capital efficiency the runner-up — and you're comfortable hardening the platform post-launch once you have product-market signal?</w:t>
            </w:r>
          </w:p>
        </w:tc>
        <w:tc>
          <w:tcPr>
            <w:tcW w:type="dxa" w:w="180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b/>
                <w:bCs/>
                <w:color w:val="1F3A5F"/>
                <w:sz w:val="20"/>
                <w:szCs w:val="20"/>
              </w:rPr>
              <w:t xml:space="preserve">Option B</w:t>
            </w:r>
          </w:p>
        </w:tc>
      </w:tr>
      <w:tr>
        <w:tc>
          <w:tcPr>
            <w:tcW w:type="dxa" w:w="8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0F172A"/>
                <w:sz w:val="24"/>
                <w:szCs w:val="24"/>
              </w:rPr>
              <w:t xml:space="preserve">3</w:t>
            </w:r>
          </w:p>
        </w:tc>
        <w:tc>
          <w:tcPr>
            <w:tcW w:type="dxa" w:w="748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pPr>
            <w:r>
              <w:rPr>
                <w:rFonts w:ascii="Arial" w:cs="Arial" w:eastAsia="Arial" w:hAnsi="Arial"/>
                <w:color w:val="0F172A"/>
                <w:sz w:val="20"/>
                <w:szCs w:val="20"/>
              </w:rPr>
              <w:t xml:space="preserve">Do you want to be HIPAA-ready, GDPR-compliant, and audit-log-enabled at launch, but stay on a lean (Supabase + single-deploy) infrastructure stack until usage justifies the AWS-native build-out?</w:t>
            </w:r>
          </w:p>
        </w:tc>
        <w:tc>
          <w:tcPr>
            <w:tcW w:type="dxa" w:w="18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166534"/>
                <w:sz w:val="20"/>
                <w:szCs w:val="20"/>
              </w:rPr>
              <w:t xml:space="preserve">Option C</w:t>
            </w:r>
          </w:p>
        </w:tc>
      </w:tr>
    </w:tbl>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66534" w:sz="6"/>
              <w:left w:val="single" w:color="166534" w:sz="6"/>
              <w:bottom w:val="single" w:color="166534" w:sz="6"/>
              <w:right w:val="single" w:color="166534" w:sz="6"/>
            </w:tcBorders>
            <w:shd w:fill="DCFCE7" w:val="clear"/>
            <w:tcMar>
              <w:top w:type="dxa" w:w="160"/>
              <w:left w:type="dxa" w:w="200"/>
              <w:bottom w:type="dxa" w:w="160"/>
              <w:right w:type="dxa" w:w="200"/>
            </w:tcMar>
          </w:tcPr>
          <w:p>
            <w:pPr>
              <w:spacing w:after="80" w:before="40"/>
            </w:pPr>
            <w:r>
              <w:rPr>
                <w:rFonts w:ascii="Arial" w:cs="Arial" w:eastAsia="Arial" w:hAnsi="Arial"/>
                <w:b/>
                <w:bCs/>
                <w:color w:val="166534"/>
                <w:sz w:val="24"/>
                <w:szCs w:val="24"/>
              </w:rPr>
              <w:t xml:space="preserve">Brilworks' default recommendation: Option C</w:t>
            </w:r>
          </w:p>
          <w:p>
            <w:pPr>
              <w:spacing w:after="40" w:before="0"/>
            </w:pPr>
            <w:r>
              <w:rPr>
                <w:rFonts w:ascii="Arial" w:cs="Arial" w:eastAsia="Arial" w:hAnsi="Arial"/>
                <w:color w:val="0F172A"/>
                <w:sz w:val="22"/>
                <w:szCs w:val="22"/>
              </w:rPr>
              <w:t xml:space="preserve">Option C honours every client-facing commitment in the Q&amp;A — security, compliance, audit log, monitoring — while keeping the lean infrastructure shortcuts that the end user never sees. It is the option we recommend for clients who haven't yet picked a definitive growth path.</w:t>
            </w:r>
          </w:p>
        </w:tc>
      </w:tr>
    </w:tbl>
    <w:p>
      <w:r>
        <w:br w:type="page"/>
      </w:r>
    </w:p>
    <w:p>
      <w:pPr>
        <w:pStyle w:val="Heading1"/>
        <w:spacing w:after="200" w:before="360"/>
      </w:pPr>
      <w:r>
        <w:rPr>
          <w:rFonts w:ascii="Arial" w:cs="Arial" w:eastAsia="Arial" w:hAnsi="Arial"/>
          <w:b/>
          <w:bCs/>
          <w:color w:val="1F3A5F"/>
          <w:sz w:val="36"/>
          <w:szCs w:val="36"/>
        </w:rPr>
        <w:t xml:space="preserve">What happens after you select</w:t>
      </w:r>
    </w:p>
    <w:p>
      <w:pPr>
        <w:spacing w:after="80" w:before="80"/>
      </w:pPr>
      <w:r>
        <w:rPr>
          <w:rFonts w:ascii="Arial" w:cs="Arial" w:eastAsia="Arial" w:hAnsi="Arial"/>
          <w:color w:val="0F172A"/>
          <w:sz w:val="22"/>
          <w:szCs w:val="22"/>
        </w:rPr>
        <w:t xml:space="preserve">Within 3 business days of receiving your signed selection on the next page, Brilworks will:</w:t>
      </w:r>
    </w:p>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If you choose…</w:t>
            </w:r>
          </w:p>
        </w:tc>
        <w:tc>
          <w:tcPr>
            <w:tcW w:type="dxa" w:w="7680"/>
            <w:tcBorders>
              <w:top w:val="single" w:color="CBD5E1" w:sz="6"/>
              <w:left w:val="single" w:color="CBD5E1" w:sz="6"/>
              <w:bottom w:val="single" w:color="CBD5E1" w:sz="6"/>
              <w:right w:val="single" w:color="CBD5E1" w:sz="6"/>
            </w:tcBorders>
            <w:shd w:fill="1F3A5F"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Brilworks will deliver:</w:t>
            </w:r>
          </w:p>
        </w:tc>
      </w:tr>
      <w:tr>
        <w:tc>
          <w:tcPr>
            <w:tcW w:type="dxa" w:w="24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pPr>
            <w:r>
              <w:rPr>
                <w:rFonts w:ascii="Arial" w:cs="Arial" w:eastAsia="Arial" w:hAnsi="Arial"/>
                <w:b/>
                <w:bCs/>
                <w:color w:val="1F3A5F"/>
                <w:sz w:val="24"/>
                <w:szCs w:val="24"/>
              </w:rPr>
              <w:t xml:space="preserve">Option A</w:t>
            </w:r>
          </w:p>
        </w:tc>
        <w:tc>
          <w:tcPr>
            <w:tcW w:type="dxa" w:w="768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bCs/>
                <w:color w:val="0F172A"/>
                <w:sz w:val="22"/>
                <w:szCs w:val="22"/>
              </w:rPr>
              <w:t xml:space="preserve">Revised SOW v2.0 </w:t>
            </w:r>
            <w:r>
              <w:rPr>
                <w:rFonts w:ascii="Arial" w:cs="Arial" w:eastAsia="Arial" w:hAnsi="Arial"/>
                <w:color w:val="0F172A"/>
                <w:sz w:val="22"/>
                <w:szCs w:val="22"/>
              </w:rPr>
              <w:t xml:space="preserve">(₹65 – 79 Lakh, 17 – 21 weeks, 30/30/30/10 milestone billing)</w:t>
            </w:r>
          </w:p>
          <w:p>
            <w:pPr>
              <w:pStyle w:val="ListParagraph"/>
              <w:numPr>
                <w:ilvl w:val="0"/>
                <w:numId w:val="2"/>
              </w:numPr>
              <w:spacing w:after="40" w:before="40"/>
            </w:pPr>
            <w:r>
              <w:rPr>
                <w:rFonts w:ascii="Arial" w:cs="Arial" w:eastAsia="Arial" w:hAnsi="Arial"/>
                <w:b/>
                <w:bCs/>
                <w:color w:val="0F172A"/>
                <w:sz w:val="22"/>
                <w:szCs w:val="22"/>
              </w:rPr>
              <w:t xml:space="preserve">Detailed AWS infrastructure plan </w:t>
            </w:r>
            <w:r>
              <w:rPr>
                <w:rFonts w:ascii="Arial" w:cs="Arial" w:eastAsia="Arial" w:hAnsi="Arial"/>
                <w:color w:val="0F172A"/>
                <w:sz w:val="22"/>
                <w:szCs w:val="22"/>
              </w:rPr>
              <w:t xml:space="preserve">(VPC, RDS, ElastiCache, CloudFront, IAM/KMS, observability)</w:t>
            </w:r>
          </w:p>
          <w:p>
            <w:pPr>
              <w:pStyle w:val="ListParagraph"/>
              <w:numPr>
                <w:ilvl w:val="0"/>
                <w:numId w:val="2"/>
              </w:numPr>
              <w:spacing w:after="40" w:before="40"/>
            </w:pPr>
            <w:r>
              <w:rPr>
                <w:rFonts w:ascii="Arial" w:cs="Arial" w:eastAsia="Arial" w:hAnsi="Arial"/>
                <w:b/>
                <w:bCs/>
                <w:color w:val="0F172A"/>
                <w:sz w:val="22"/>
                <w:szCs w:val="22"/>
              </w:rPr>
              <w:t xml:space="preserve">HIPAA + GDPR delivery checklist </w:t>
            </w:r>
            <w:r>
              <w:rPr>
                <w:rFonts w:ascii="Arial" w:cs="Arial" w:eastAsia="Arial" w:hAnsi="Arial"/>
                <w:color w:val="0F172A"/>
                <w:sz w:val="22"/>
                <w:szCs w:val="22"/>
              </w:rPr>
              <w:t xml:space="preserve">with line-item acceptance criteria</w:t>
            </w:r>
          </w:p>
          <w:p>
            <w:pPr>
              <w:pStyle w:val="ListParagraph"/>
              <w:numPr>
                <w:ilvl w:val="0"/>
                <w:numId w:val="2"/>
              </w:numPr>
              <w:spacing w:after="40" w:before="40"/>
            </w:pPr>
            <w:r>
              <w:rPr>
                <w:rFonts w:ascii="Arial" w:cs="Arial" w:eastAsia="Arial" w:hAnsi="Arial"/>
                <w:b/>
                <w:bCs/>
                <w:color w:val="0F172A"/>
                <w:sz w:val="22"/>
                <w:szCs w:val="22"/>
              </w:rPr>
              <w:t xml:space="preserve">Team roster </w:t>
            </w:r>
            <w:r>
              <w:rPr>
                <w:rFonts w:ascii="Arial" w:cs="Arial" w:eastAsia="Arial" w:hAnsi="Arial"/>
                <w:color w:val="0F172A"/>
                <w:sz w:val="22"/>
                <w:szCs w:val="22"/>
              </w:rPr>
              <w:t xml:space="preserve">(7 – 8 engineers, named, with LinkedIn profiles)</w:t>
            </w:r>
          </w:p>
        </w:tc>
      </w:tr>
      <w:tr>
        <w:tc>
          <w:tcPr>
            <w:tcW w:type="dxa" w:w="240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pPr>
            <w:r>
              <w:rPr>
                <w:rFonts w:ascii="Arial" w:cs="Arial" w:eastAsia="Arial" w:hAnsi="Arial"/>
                <w:b/>
                <w:bCs/>
                <w:color w:val="1F3A5F"/>
                <w:sz w:val="24"/>
                <w:szCs w:val="24"/>
              </w:rPr>
              <w:t xml:space="preserve">Option B</w:t>
            </w:r>
          </w:p>
        </w:tc>
        <w:tc>
          <w:tcPr>
            <w:tcW w:type="dxa" w:w="768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bCs/>
                <w:color w:val="0F172A"/>
                <w:sz w:val="22"/>
                <w:szCs w:val="22"/>
              </w:rPr>
              <w:t xml:space="preserve">Revised Technical Q&amp;A v2.0 </w:t>
            </w:r>
            <w:r>
              <w:rPr>
                <w:rFonts w:ascii="Arial" w:cs="Arial" w:eastAsia="Arial" w:hAnsi="Arial"/>
                <w:color w:val="0F172A"/>
                <w:sz w:val="22"/>
                <w:szCs w:val="22"/>
              </w:rPr>
              <w:t xml:space="preserve">matching the Lean MVP stack (Supabase + single deploy + OpenAI, “HIPAA-aligned”)</w:t>
            </w:r>
          </w:p>
          <w:p>
            <w:pPr>
              <w:pStyle w:val="ListParagraph"/>
              <w:numPr>
                <w:ilvl w:val="0"/>
                <w:numId w:val="2"/>
              </w:numPr>
              <w:spacing w:after="40" w:before="40"/>
            </w:pPr>
            <w:r>
              <w:rPr>
                <w:rFonts w:ascii="Arial" w:cs="Arial" w:eastAsia="Arial" w:hAnsi="Arial"/>
                <w:b/>
                <w:bCs/>
                <w:color w:val="0F172A"/>
                <w:sz w:val="22"/>
                <w:szCs w:val="22"/>
              </w:rPr>
              <w:t xml:space="preserve">Original SOW unchanged </w:t>
            </w:r>
            <w:r>
              <w:rPr>
                <w:rFonts w:ascii="Arial" w:cs="Arial" w:eastAsia="Arial" w:hAnsi="Arial"/>
                <w:color w:val="0F172A"/>
                <w:sz w:val="22"/>
                <w:szCs w:val="22"/>
              </w:rPr>
              <w:t xml:space="preserve">(₹45 – 50 Lakh, 12 – 14 weeks)</w:t>
            </w:r>
          </w:p>
          <w:p>
            <w:pPr>
              <w:pStyle w:val="ListParagraph"/>
              <w:numPr>
                <w:ilvl w:val="0"/>
                <w:numId w:val="2"/>
              </w:numPr>
              <w:spacing w:after="40" w:before="40"/>
            </w:pPr>
            <w:r>
              <w:rPr>
                <w:rFonts w:ascii="Arial" w:cs="Arial" w:eastAsia="Arial" w:hAnsi="Arial"/>
                <w:b/>
                <w:bCs/>
                <w:color w:val="0F172A"/>
                <w:sz w:val="22"/>
                <w:szCs w:val="22"/>
              </w:rPr>
              <w:t xml:space="preserve">Team roster </w:t>
            </w:r>
            <w:r>
              <w:rPr>
                <w:rFonts w:ascii="Arial" w:cs="Arial" w:eastAsia="Arial" w:hAnsi="Arial"/>
                <w:color w:val="0F172A"/>
                <w:sz w:val="22"/>
                <w:szCs w:val="22"/>
              </w:rPr>
              <w:t xml:space="preserve">(5 – 6 engineers, named)</w:t>
            </w:r>
          </w:p>
          <w:p>
            <w:pPr>
              <w:pStyle w:val="ListParagraph"/>
              <w:numPr>
                <w:ilvl w:val="0"/>
                <w:numId w:val="2"/>
              </w:numPr>
              <w:spacing w:after="40" w:before="40"/>
            </w:pPr>
            <w:r>
              <w:rPr>
                <w:rFonts w:ascii="Arial" w:cs="Arial" w:eastAsia="Arial" w:hAnsi="Arial"/>
                <w:b/>
                <w:bCs/>
                <w:color w:val="0F172A"/>
                <w:sz w:val="22"/>
                <w:szCs w:val="22"/>
              </w:rPr>
              <w:t xml:space="preserve">Kickoff date </w:t>
            </w:r>
            <w:r>
              <w:rPr>
                <w:rFonts w:ascii="Arial" w:cs="Arial" w:eastAsia="Arial" w:hAnsi="Arial"/>
                <w:color w:val="0F172A"/>
                <w:sz w:val="22"/>
                <w:szCs w:val="22"/>
              </w:rPr>
              <w:t xml:space="preserve">scheduled within 7 business days of signing</w:t>
            </w:r>
          </w:p>
        </w:tc>
      </w:tr>
      <w:tr>
        <w:tc>
          <w:tcPr>
            <w:tcW w:type="dxa" w:w="240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pPr>
            <w:r>
              <w:rPr>
                <w:rFonts w:ascii="Arial" w:cs="Arial" w:eastAsia="Arial" w:hAnsi="Arial"/>
                <w:b/>
                <w:bCs/>
                <w:color w:val="166534"/>
                <w:sz w:val="24"/>
                <w:szCs w:val="24"/>
              </w:rPr>
              <w:t xml:space="preserve">Option C</w:t>
            </w:r>
          </w:p>
        </w:tc>
        <w:tc>
          <w:tcPr>
            <w:tcW w:type="dxa" w:w="768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bCs/>
                <w:color w:val="0F172A"/>
                <w:sz w:val="22"/>
                <w:szCs w:val="22"/>
              </w:rPr>
              <w:t xml:space="preserve">Revised SOW v2.0 </w:t>
            </w:r>
            <w:r>
              <w:rPr>
                <w:rFonts w:ascii="Arial" w:cs="Arial" w:eastAsia="Arial" w:hAnsi="Arial"/>
                <w:color w:val="0F172A"/>
                <w:sz w:val="22"/>
                <w:szCs w:val="22"/>
              </w:rPr>
              <w:t xml:space="preserve">(₹52 – 62 Lakh, 15 – 17 weeks, 30/30/30/10 milestone billing)</w:t>
            </w:r>
          </w:p>
          <w:p>
            <w:pPr>
              <w:pStyle w:val="ListParagraph"/>
              <w:numPr>
                <w:ilvl w:val="0"/>
                <w:numId w:val="2"/>
              </w:numPr>
              <w:spacing w:after="40" w:before="40"/>
            </w:pPr>
            <w:r>
              <w:rPr>
                <w:rFonts w:ascii="Arial" w:cs="Arial" w:eastAsia="Arial" w:hAnsi="Arial"/>
                <w:b/>
                <w:bCs/>
                <w:color w:val="0F172A"/>
                <w:sz w:val="22"/>
                <w:szCs w:val="22"/>
              </w:rPr>
              <w:t xml:space="preserve">Revised Technical Q&amp;A v2.0 </w:t>
            </w:r>
            <w:r>
              <w:rPr>
                <w:rFonts w:ascii="Arial" w:cs="Arial" w:eastAsia="Arial" w:hAnsi="Arial"/>
                <w:color w:val="0F172A"/>
                <w:sz w:val="22"/>
                <w:szCs w:val="22"/>
              </w:rPr>
              <w:t xml:space="preserve">matching Option C scope (Supabase + single deploy, HIPAA-ready + GDPR + OWASP + audit log + expanded monitoring fully delivered)</w:t>
            </w:r>
          </w:p>
          <w:p>
            <w:pPr>
              <w:pStyle w:val="ListParagraph"/>
              <w:numPr>
                <w:ilvl w:val="0"/>
                <w:numId w:val="2"/>
              </w:numPr>
              <w:spacing w:after="40" w:before="40"/>
            </w:pPr>
            <w:r>
              <w:rPr>
                <w:rFonts w:ascii="Arial" w:cs="Arial" w:eastAsia="Arial" w:hAnsi="Arial"/>
                <w:b/>
                <w:bCs/>
                <w:color w:val="0F172A"/>
                <w:sz w:val="22"/>
                <w:szCs w:val="22"/>
              </w:rPr>
              <w:t xml:space="preserve">HIPAA + GDPR delivery checklist </w:t>
            </w:r>
            <w:r>
              <w:rPr>
                <w:rFonts w:ascii="Arial" w:cs="Arial" w:eastAsia="Arial" w:hAnsi="Arial"/>
                <w:color w:val="0F172A"/>
                <w:sz w:val="22"/>
                <w:szCs w:val="22"/>
              </w:rPr>
              <w:t xml:space="preserve">with line-item acceptance criteria</w:t>
            </w:r>
          </w:p>
          <w:p>
            <w:pPr>
              <w:pStyle w:val="ListParagraph"/>
              <w:numPr>
                <w:ilvl w:val="0"/>
                <w:numId w:val="2"/>
              </w:numPr>
              <w:spacing w:after="40" w:before="40"/>
            </w:pPr>
            <w:r>
              <w:rPr>
                <w:rFonts w:ascii="Arial" w:cs="Arial" w:eastAsia="Arial" w:hAnsi="Arial"/>
                <w:b/>
                <w:bCs/>
                <w:color w:val="0F172A"/>
                <w:sz w:val="22"/>
                <w:szCs w:val="22"/>
              </w:rPr>
              <w:t xml:space="preserve">Team roster </w:t>
            </w:r>
            <w:r>
              <w:rPr>
                <w:rFonts w:ascii="Arial" w:cs="Arial" w:eastAsia="Arial" w:hAnsi="Arial"/>
                <w:color w:val="0F172A"/>
                <w:sz w:val="22"/>
                <w:szCs w:val="22"/>
              </w:rPr>
              <w:t xml:space="preserve">(6 – 7 engineers, named)</w:t>
            </w:r>
          </w:p>
        </w:tc>
      </w:tr>
    </w:tbl>
    <w:p>
      <w:pPr>
        <w:spacing w:after="80" w:before="80"/>
      </w:pPr>
      <w:r>
        <w:rPr>
          <w:rFonts w:ascii="Arial" w:cs="Arial" w:eastAsia="Arial" w:hAnsi="Arial"/>
          <w:color w:val="0F172A"/>
          <w:sz w:val="22"/>
          <w:szCs w:val="22"/>
        </w:rPr>
        <w:t xml:space="preserve"> </w:t>
      </w:r>
    </w:p>
    <w:p>
      <w:pPr>
        <w:pStyle w:val="Heading2"/>
        <w:spacing w:after="140" w:before="280"/>
      </w:pPr>
      <w:r>
        <w:rPr>
          <w:rFonts w:ascii="Arial" w:cs="Arial" w:eastAsia="Arial" w:hAnsi="Arial"/>
          <w:b/>
          <w:bCs/>
          <w:color w:val="1F3A5F"/>
          <w:sz w:val="28"/>
          <w:szCs w:val="28"/>
        </w:rPr>
        <w:t xml:space="preserve">Common to all three options</w:t>
      </w:r>
    </w:p>
    <w:p>
      <w:pPr>
        <w:pStyle w:val="ListParagraph"/>
        <w:numPr>
          <w:ilvl w:val="0"/>
          <w:numId w:val="2"/>
        </w:numPr>
        <w:spacing w:after="40" w:before="40"/>
      </w:pPr>
      <w:r>
        <w:rPr>
          <w:rFonts w:ascii="Arial" w:cs="Arial" w:eastAsia="Arial" w:hAnsi="Arial"/>
          <w:b/>
          <w:bCs/>
          <w:color w:val="0F172A"/>
          <w:sz w:val="22"/>
          <w:szCs w:val="22"/>
        </w:rPr>
        <w:t xml:space="preserve">Fixed price </w:t>
      </w:r>
      <w:r>
        <w:rPr>
          <w:rFonts w:ascii="Arial" w:cs="Arial" w:eastAsia="Arial" w:hAnsi="Arial"/>
          <w:color w:val="0F172A"/>
          <w:sz w:val="22"/>
          <w:szCs w:val="22"/>
        </w:rPr>
        <w:t xml:space="preserve">— buffer-overrun risk transfers from you to us.</w:t>
      </w:r>
    </w:p>
    <w:p>
      <w:pPr>
        <w:pStyle w:val="ListParagraph"/>
        <w:numPr>
          <w:ilvl w:val="0"/>
          <w:numId w:val="2"/>
        </w:numPr>
        <w:spacing w:after="40" w:before="40"/>
      </w:pPr>
      <w:r>
        <w:rPr>
          <w:rFonts w:ascii="Arial" w:cs="Arial" w:eastAsia="Arial" w:hAnsi="Arial"/>
          <w:b/>
          <w:bCs/>
          <w:color w:val="0F172A"/>
          <w:sz w:val="22"/>
          <w:szCs w:val="22"/>
        </w:rPr>
        <w:t xml:space="preserve">30 / 30 / 30 / 10 milestone billing </w:t>
      </w:r>
      <w:r>
        <w:rPr>
          <w:rFonts w:ascii="Arial" w:cs="Arial" w:eastAsia="Arial" w:hAnsi="Arial"/>
          <w:color w:val="0F172A"/>
          <w:sz w:val="22"/>
          <w:szCs w:val="22"/>
        </w:rPr>
        <w:t xml:space="preserve">— 70% of payment is gated on pre-launch delivery, 30% on launch + 30-day hypercare.</w:t>
      </w:r>
    </w:p>
    <w:p>
      <w:pPr>
        <w:pStyle w:val="ListParagraph"/>
        <w:numPr>
          <w:ilvl w:val="0"/>
          <w:numId w:val="2"/>
        </w:numPr>
        <w:spacing w:after="40" w:before="40"/>
      </w:pPr>
      <w:r>
        <w:rPr>
          <w:rFonts w:ascii="Arial" w:cs="Arial" w:eastAsia="Arial" w:hAnsi="Arial"/>
          <w:b/>
          <w:bCs/>
          <w:color w:val="0F172A"/>
          <w:sz w:val="22"/>
          <w:szCs w:val="22"/>
        </w:rPr>
        <w:t xml:space="preserve">Same blended rate </w:t>
      </w:r>
      <w:r>
        <w:rPr>
          <w:rFonts w:ascii="Arial" w:cs="Arial" w:eastAsia="Arial" w:hAnsi="Arial"/>
          <w:color w:val="0F172A"/>
          <w:sz w:val="22"/>
          <w:szCs w:val="22"/>
        </w:rPr>
        <w:t xml:space="preserve">(~₹2,250 – 2,500 / hour). No rate increase — the cost differences are entirely about engineering hours.</w:t>
      </w:r>
    </w:p>
    <w:p>
      <w:pPr>
        <w:pStyle w:val="ListParagraph"/>
        <w:numPr>
          <w:ilvl w:val="0"/>
          <w:numId w:val="2"/>
        </w:numPr>
        <w:spacing w:after="40" w:before="40"/>
      </w:pPr>
      <w:r>
        <w:rPr>
          <w:rFonts w:ascii="Arial" w:cs="Arial" w:eastAsia="Arial" w:hAnsi="Arial"/>
          <w:b/>
          <w:bCs/>
          <w:color w:val="0F172A"/>
          <w:sz w:val="22"/>
          <w:szCs w:val="22"/>
        </w:rPr>
        <w:t xml:space="preserve">Source code delivered </w:t>
      </w:r>
      <w:r>
        <w:rPr>
          <w:rFonts w:ascii="Arial" w:cs="Arial" w:eastAsia="Arial" w:hAnsi="Arial"/>
          <w:color w:val="0F172A"/>
          <w:sz w:val="22"/>
          <w:szCs w:val="22"/>
        </w:rPr>
        <w:t xml:space="preserve">to your repository from Day 1. Full ownership remains with Champions Longevity.</w:t>
      </w:r>
    </w:p>
    <w:p>
      <w:pPr>
        <w:pStyle w:val="ListParagraph"/>
        <w:numPr>
          <w:ilvl w:val="0"/>
          <w:numId w:val="2"/>
        </w:numPr>
        <w:spacing w:after="40" w:before="40"/>
      </w:pPr>
      <w:r>
        <w:rPr>
          <w:rFonts w:ascii="Arial" w:cs="Arial" w:eastAsia="Arial" w:hAnsi="Arial"/>
          <w:b/>
          <w:bCs/>
          <w:color w:val="0F172A"/>
          <w:sz w:val="22"/>
          <w:szCs w:val="22"/>
        </w:rPr>
        <w:t xml:space="preserve">Infrastructure on your cloud account. </w:t>
      </w:r>
      <w:r>
        <w:rPr>
          <w:rFonts w:ascii="Arial" w:cs="Arial" w:eastAsia="Arial" w:hAnsi="Arial"/>
          <w:color w:val="0F172A"/>
          <w:sz w:val="22"/>
          <w:szCs w:val="22"/>
        </w:rPr>
        <w:t xml:space="preserve">Brilworks builds; you own and operate.</w:t>
      </w:r>
    </w:p>
    <w:p>
      <w:r>
        <w:br w:type="page"/>
      </w:r>
    </w:p>
    <w:p>
      <w:pPr>
        <w:pStyle w:val="Heading1"/>
        <w:spacing w:after="200" w:before="360"/>
      </w:pPr>
      <w:r>
        <w:rPr>
          <w:rFonts w:ascii="Arial" w:cs="Arial" w:eastAsia="Arial" w:hAnsi="Arial"/>
          <w:b/>
          <w:bCs/>
          <w:color w:val="1F3A5F"/>
          <w:sz w:val="36"/>
          <w:szCs w:val="36"/>
        </w:rPr>
        <w:t xml:space="preserve">Your selection</w:t>
      </w:r>
    </w:p>
    <w:p>
      <w:pPr>
        <w:spacing w:after="80" w:before="80"/>
      </w:pPr>
      <w:r>
        <w:rPr>
          <w:rFonts w:ascii="Arial" w:cs="Arial" w:eastAsia="Arial" w:hAnsi="Arial"/>
          <w:color w:val="0F172A"/>
          <w:sz w:val="22"/>
          <w:szCs w:val="22"/>
        </w:rPr>
        <w:t xml:space="preserve">Please tick one option, sign, and return a scanned or digital copy to vikas@brilworks.com.</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280"/>
        <w:gridCol w:w="2600"/>
      </w:tblGrid>
      <w:tr>
        <w:tc>
          <w:tcPr>
            <w:tcW w:type="dxa" w:w="120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b/>
                <w:bCs/>
                <w:color w:val="0F172A"/>
                <w:sz w:val="48"/>
                <w:szCs w:val="48"/>
              </w:rPr>
              <w:t xml:space="preserve">☐</w:t>
            </w:r>
          </w:p>
        </w:tc>
        <w:tc>
          <w:tcPr>
            <w:tcW w:type="dxa" w:w="628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20" w:before="40"/>
            </w:pPr>
            <w:r>
              <w:rPr>
                <w:rFonts w:ascii="Arial" w:cs="Arial" w:eastAsia="Arial" w:hAnsi="Arial"/>
                <w:b/>
                <w:bCs/>
                <w:color w:val="1F3A5F"/>
                <w:sz w:val="26"/>
                <w:szCs w:val="26"/>
              </w:rPr>
              <w:t xml:space="preserve">OPTION A — Full Enterprise Architecture</w:t>
            </w:r>
          </w:p>
          <w:p>
            <w:pPr>
              <w:spacing w:after="40" w:before="0"/>
            </w:pPr>
            <w:r>
              <w:rPr>
                <w:rFonts w:ascii="Arial" w:cs="Arial" w:eastAsia="Arial" w:hAnsi="Arial"/>
                <w:color w:val="0F172A"/>
                <w:sz w:val="22"/>
                <w:szCs w:val="22"/>
              </w:rPr>
              <w:t xml:space="preserve">Self-managed AWS stack, multi-LLM, HIPAA + GDPR-ready, 17 – 21 weeks, 7 – 8 engineers.</w:t>
            </w:r>
          </w:p>
        </w:tc>
        <w:tc>
          <w:tcPr>
            <w:tcW w:type="dxa" w:w="260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Arial" w:cs="Arial" w:eastAsia="Arial" w:hAnsi="Arial"/>
                <w:b/>
                <w:bCs/>
                <w:color w:val="1F3A5F"/>
                <w:sz w:val="26"/>
                <w:szCs w:val="26"/>
              </w:rPr>
              <w:t xml:space="preserve">₹65 – 79 Lakh</w:t>
            </w:r>
          </w:p>
        </w:tc>
      </w:tr>
      <w:tr>
        <w:tc>
          <w:tcPr>
            <w:tcW w:type="dxa" w:w="12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0F172A"/>
                <w:sz w:val="48"/>
                <w:szCs w:val="48"/>
              </w:rPr>
              <w:t xml:space="preserve">☐</w:t>
            </w:r>
          </w:p>
        </w:tc>
        <w:tc>
          <w:tcPr>
            <w:tcW w:type="dxa" w:w="628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20" w:before="40"/>
            </w:pPr>
            <w:r>
              <w:rPr>
                <w:rFonts w:ascii="Arial" w:cs="Arial" w:eastAsia="Arial" w:hAnsi="Arial"/>
                <w:b/>
                <w:bCs/>
                <w:color w:val="1F3A5F"/>
                <w:sz w:val="26"/>
                <w:szCs w:val="26"/>
              </w:rPr>
              <w:t xml:space="preserve">OPTION B — Lean MVP (Original Pricing)</w:t>
            </w:r>
          </w:p>
          <w:p>
            <w:pPr>
              <w:spacing w:after="40" w:before="0"/>
            </w:pPr>
            <w:r>
              <w:rPr>
                <w:rFonts w:ascii="Arial" w:cs="Arial" w:eastAsia="Arial" w:hAnsi="Arial"/>
                <w:color w:val="0F172A"/>
                <w:sz w:val="22"/>
                <w:szCs w:val="22"/>
              </w:rPr>
              <w:t xml:space="preserve">Supabase BaaS, OpenAI only, HIPAA-aligned, 12 – 14 weeks, 5 – 6 engineers.</w:t>
            </w:r>
          </w:p>
        </w:tc>
        <w:tc>
          <w:tcPr>
            <w:tcW w:type="dxa" w:w="260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Arial" w:cs="Arial" w:eastAsia="Arial" w:hAnsi="Arial"/>
                <w:b/>
                <w:bCs/>
                <w:color w:val="1F3A5F"/>
                <w:sz w:val="26"/>
                <w:szCs w:val="26"/>
              </w:rPr>
              <w:t xml:space="preserve">₹45 – 50 Lakh</w:t>
            </w:r>
          </w:p>
        </w:tc>
      </w:tr>
      <w:tr>
        <w:tc>
          <w:tcPr>
            <w:tcW w:type="dxa" w:w="120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jc w:val="center"/>
            </w:pPr>
            <w:r>
              <w:rPr>
                <w:rFonts w:ascii="Arial" w:cs="Arial" w:eastAsia="Arial" w:hAnsi="Arial"/>
                <w:b/>
                <w:bCs/>
                <w:color w:val="0F172A"/>
                <w:sz w:val="48"/>
                <w:szCs w:val="48"/>
              </w:rPr>
              <w:t xml:space="preserve">☐</w:t>
            </w:r>
          </w:p>
        </w:tc>
        <w:tc>
          <w:tcPr>
            <w:tcW w:type="dxa" w:w="628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20" w:before="40"/>
            </w:pPr>
            <w:r>
              <w:rPr>
                <w:rFonts w:ascii="Arial" w:cs="Arial" w:eastAsia="Arial" w:hAnsi="Arial"/>
                <w:b/>
                <w:bCs/>
                <w:color w:val="166534"/>
                <w:sz w:val="26"/>
                <w:szCs w:val="26"/>
              </w:rPr>
              <w:t xml:space="preserve">OPTION C — Tiered Adoption (Brilworks recommended)</w:t>
            </w:r>
          </w:p>
          <w:p>
            <w:pPr>
              <w:spacing w:after="40" w:before="0"/>
            </w:pPr>
            <w:r>
              <w:rPr>
                <w:rFonts w:ascii="Arial" w:cs="Arial" w:eastAsia="Arial" w:hAnsi="Arial"/>
                <w:color w:val="0F172A"/>
                <w:sz w:val="22"/>
                <w:szCs w:val="22"/>
              </w:rPr>
              <w:t xml:space="preserve">Lean infra + full compliance / security / audit / monitoring delivered. 15 – 17 weeks, 6 – 7 engineers.</w:t>
            </w:r>
          </w:p>
        </w:tc>
        <w:tc>
          <w:tcPr>
            <w:tcW w:type="dxa" w:w="2600"/>
            <w:tcBorders>
              <w:top w:val="single" w:color="CBD5E1" w:sz="6"/>
              <w:left w:val="single" w:color="CBD5E1" w:sz="6"/>
              <w:bottom w:val="single" w:color="CBD5E1" w:sz="6"/>
              <w:right w:val="single" w:color="CBD5E1" w:sz="6"/>
            </w:tcBorders>
            <w:shd w:fill="DCFCE7" w:val="clear"/>
            <w:tcMar>
              <w:top w:type="dxa" w:w="100"/>
              <w:left w:type="dxa" w:w="140"/>
              <w:bottom w:type="dxa" w:w="100"/>
              <w:right w:type="dxa" w:w="140"/>
            </w:tcMar>
          </w:tcPr>
          <w:p>
            <w:pPr>
              <w:spacing w:after="40" w:before="40"/>
              <w:jc w:val="center"/>
            </w:pPr>
            <w:r>
              <w:rPr>
                <w:rFonts w:ascii="Arial" w:cs="Arial" w:eastAsia="Arial" w:hAnsi="Arial"/>
                <w:b/>
                <w:bCs/>
                <w:color w:val="166534"/>
                <w:sz w:val="26"/>
                <w:szCs w:val="26"/>
              </w:rPr>
              <w:t xml:space="preserve">₹52 – 62 Lakh</w:t>
            </w:r>
          </w:p>
        </w:tc>
      </w:tr>
    </w:tbl>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p>
      <w:pPr>
        <w:pStyle w:val="Heading2"/>
        <w:spacing w:after="140" w:before="280"/>
      </w:pPr>
      <w:r>
        <w:rPr>
          <w:rFonts w:ascii="Arial" w:cs="Arial" w:eastAsia="Arial" w:hAnsi="Arial"/>
          <w:b/>
          <w:bCs/>
          <w:color w:val="1F3A5F"/>
          <w:sz w:val="28"/>
          <w:szCs w:val="28"/>
        </w:rPr>
        <w:t xml:space="preserve">Signed by</w:t>
      </w:r>
    </w:p>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pPr>
            <w:r>
              <w:rPr>
                <w:rFonts w:ascii="Arial" w:cs="Arial" w:eastAsia="Arial" w:hAnsi="Arial"/>
                <w:b/>
                <w:bCs/>
                <w:color w:val="1F3A5F"/>
                <w:sz w:val="22"/>
                <w:szCs w:val="22"/>
              </w:rPr>
              <w:t xml:space="preserve">For Champions Longevity</w:t>
            </w:r>
          </w:p>
        </w:tc>
        <w:tc>
          <w:tcPr>
            <w:tcW w:type="dxa" w:w="504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pPr>
            <w:r>
              <w:rPr>
                <w:rFonts w:ascii="Arial" w:cs="Arial" w:eastAsia="Arial" w:hAnsi="Arial"/>
                <w:b/>
                <w:bCs/>
                <w:color w:val="1F3A5F"/>
                <w:sz w:val="22"/>
                <w:szCs w:val="22"/>
              </w:rPr>
              <w:t xml:space="preserve">For Brilworks Software LLP</w:t>
            </w:r>
          </w:p>
        </w:tc>
      </w:tr>
      <w:tr>
        <w:tc>
          <w:tcPr>
            <w:tcW w:type="dxa" w:w="504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Name: _____________________________</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Title: _____________________________</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b/>
                <w:bCs/>
                <w:color w:val="0F172A"/>
                <w:sz w:val="22"/>
                <w:szCs w:val="22"/>
              </w:rPr>
              <w:t xml:space="preserve">Option Selected:  ☐ A     ☐ B     ☐ C</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Signature: _________________________</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Date: ______________________________</w:t>
            </w:r>
          </w:p>
          <w:p>
            <w:pPr>
              <w:spacing w:after="80" w:before="80"/>
            </w:pPr>
            <w:r>
              <w:rPr>
                <w:rFonts w:ascii="Arial" w:cs="Arial" w:eastAsia="Arial" w:hAnsi="Arial"/>
                <w:color w:val="0F172A"/>
                <w:sz w:val="22"/>
                <w:szCs w:val="22"/>
              </w:rPr>
              <w:t xml:space="preserve"> </w:t>
            </w:r>
          </w:p>
        </w:tc>
        <w:tc>
          <w:tcPr>
            <w:tcW w:type="dxa" w:w="504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Name: Vikas Singh</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Title: CTO, Brilworks Technology Pvt Ltd</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Email: vikas@brilworks.com</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Signature: _________________________</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Date: ______________________________</w:t>
            </w:r>
          </w:p>
          <w:p>
            <w:pPr>
              <w:spacing w:after="80" w:before="80"/>
            </w:pPr>
            <w:r>
              <w:rPr>
                <w:rFonts w:ascii="Arial" w:cs="Arial" w:eastAsia="Arial" w:hAnsi="Arial"/>
                <w:color w:val="0F172A"/>
                <w:sz w:val="22"/>
                <w:szCs w:val="22"/>
              </w:rPr>
              <w:t xml:space="preserve"> </w:t>
            </w:r>
          </w:p>
        </w:tc>
      </w:tr>
    </w:tbl>
    <w:p>
      <w:pPr>
        <w:spacing w:after="80" w:before="8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6"/>
              <w:left w:val="single" w:color="1E40AF" w:sz="6"/>
              <w:bottom w:val="single" w:color="1E40AF" w:sz="6"/>
              <w:right w:val="single" w:color="1E40AF" w:sz="6"/>
            </w:tcBorders>
            <w:shd w:fill="DBEAFE" w:val="clear"/>
            <w:tcMar>
              <w:top w:type="dxa" w:w="160"/>
              <w:left w:type="dxa" w:w="200"/>
              <w:bottom w:type="dxa" w:w="160"/>
              <w:right w:type="dxa" w:w="200"/>
            </w:tcMar>
          </w:tcPr>
          <w:p>
            <w:pPr>
              <w:spacing w:after="80" w:before="40"/>
            </w:pPr>
            <w:r>
              <w:rPr>
                <w:rFonts w:ascii="Arial" w:cs="Arial" w:eastAsia="Arial" w:hAnsi="Arial"/>
                <w:b/>
                <w:bCs/>
                <w:color w:val="1E40AF"/>
                <w:sz w:val="24"/>
                <w:szCs w:val="24"/>
              </w:rPr>
              <w:t xml:space="preserve">Questions before you sign?</w:t>
            </w:r>
          </w:p>
          <w:p>
            <w:pPr>
              <w:spacing w:after="40" w:before="0"/>
            </w:pPr>
            <w:r>
              <w:rPr>
                <w:rFonts w:ascii="Arial" w:cs="Arial" w:eastAsia="Arial" w:hAnsi="Arial"/>
                <w:color w:val="0F172A"/>
                <w:sz w:val="22"/>
                <w:szCs w:val="22"/>
              </w:rPr>
              <w:t xml:space="preserve">Reply to this email or message me directly at vikas@brilworks.com / +91-8866518364. Happy to jump on a 30-minute call to talk through the trade-offs before you decide.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tabs>
        <w:tab w:val="right" w:pos="9360"/>
      </w:tabs>
    </w:pPr>
    <w:r>
      <w:rPr>
        <w:rFonts w:ascii="Arial" w:cs="Arial" w:eastAsia="Arial" w:hAnsi="Arial"/>
        <w:color w:val="475569"/>
        <w:sz w:val="18"/>
        <w:szCs w:val="18"/>
      </w:rPr>
      <w:t xml:space="preserve">Confidential  •  May 18, 2026  •  Brilworks Technology Pvt Ltd</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jc w:val="right"/>
    </w:pPr>
    <w:r>
      <w:rPr>
        <w:rFonts w:ascii="Arial" w:cs="Arial" w:eastAsia="Arial" w:hAnsi="Arial"/>
        <w:b/>
        <w:bCs/>
        <w:color w:val="1F3A5F"/>
        <w:sz w:val="18"/>
        <w:szCs w:val="18"/>
      </w:rPr>
      <w:t xml:space="preserve">BRILWORKS  •  CHAMPIONS LONGEVITY</w:t>
    </w:r>
    <w:r>
      <w:rPr>
        <w:rFonts w:ascii="Arial" w:cs="Arial" w:eastAsia="Arial" w:hAnsi="Arial"/>
        <w:color w:val="475569"/>
        <w:sz w:val="18"/>
        <w:szCs w:val="18"/>
      </w:rPr>
      <w:t xml:space="preserve">  •  Phase 1 Engagement Confirmation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Champions Longevity — Phase 1 Engagement Confirmation</dc:title>
  <dc:creator>Brilworks Software LLP</dc:creator>
  <dc:description>Client-facing scope confirmation document with three architecture options and signature page.</dc:description>
  <cp:lastModifiedBy>Un-named</cp:lastModifiedBy>
  <cp:revision>1</cp:revision>
  <dcterms:created xsi:type="dcterms:W3CDTF">2026-05-18T11:01:08.251Z</dcterms:created>
  <dcterms:modified xsi:type="dcterms:W3CDTF">2026-05-18T11:01:08.251Z</dcterms:modified>
</cp:coreProperties>
</file>

<file path=docProps/custom.xml><?xml version="1.0" encoding="utf-8"?>
<Properties xmlns="http://schemas.openxmlformats.org/officeDocument/2006/custom-properties" xmlns:vt="http://schemas.openxmlformats.org/officeDocument/2006/docPropsVTypes"/>
</file>