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1 REPORT</w:t>
        <w:br/>
      </w:r>
      <w:r>
        <w:rPr>
          <w:sz w:val="34"/>
        </w:rPr>
        <w:t>Data Acquisition, Cleaning &amp; Exploratory Analysis</w:t>
      </w:r>
    </w:p>
    <w:p>
      <w:pPr>
        <w:jc w:val="center"/>
      </w:pPr>
      <w:r>
        <w:rPr>
          <w:i/>
        </w:rPr>
        <w:t>Dataset: UCI Iris Dataset | Python, Pandas, Matplotlib &amp; Seaborn</w:t>
      </w:r>
    </w:p>
    <w:p>
      <w:r>
        <w:t>This report documents a reproducible Week 1 data-science workflow covering public-data acquisition, data-quality inspection, cleaning, preprocessing, exploratory analysis, visualization, and interpretation.</w:t>
      </w:r>
    </w:p>
    <w:p>
      <w:pPr>
        <w:pStyle w:val="Heading1"/>
      </w:pPr>
      <w:r>
        <w:t>1. Objective</w:t>
      </w:r>
    </w:p>
    <w:p>
      <w:r>
        <w:t>The objective is to simulate the early stages of a data science project: acquire a public dataset, inspect its structure and quality, apply justified cleaning steps, and use exploratory analysis to identify patterns that could guide later statistical or machine-learning work.</w:t>
      </w:r>
    </w:p>
    <w:p>
      <w:pPr>
        <w:pStyle w:val="Heading1"/>
      </w:pPr>
      <w:r>
        <w:t>2. Dataset Selection and Acquisition</w:t>
      </w:r>
    </w:p>
    <w:p>
      <w:r>
        <w:t>The Iris dataset was selected because it is a compact, well-documented classification dataset with four continuous measurements and three flower classes. The official UCI repository reports 150 instances, four features, no missing values in the source, and three classes with 50 observations each.</w:t>
      </w:r>
    </w:p>
    <w:p>
      <w:r>
        <w:t>Official source: https://archive.ics.uci.edu/dataset/53/iris</w:t>
      </w:r>
    </w:p>
    <w:p>
      <w:r>
        <w:t>Acquisition approach: the analysis can be reproduced directly from UCI using pandas/HTTP or the ucimlrepo package. In this report, scikit-learn's bundled representation is used to make the document fully reproducible in an offline environment; the analytical dataset structure is the same classic Iris dataset used for this exercise.</w:t>
      </w:r>
    </w:p>
    <w:p>
      <w:pPr>
        <w:pStyle w:val="Heading2"/>
      </w:pPr>
      <w:r>
        <w:t>2.1 Dataset Schema</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Column</w:t>
            </w:r>
          </w:p>
        </w:tc>
        <w:tc>
          <w:tcPr>
            <w:tcW w:type="dxa" w:w="3408"/>
          </w:tcPr>
          <w:p>
            <w:r>
              <w:t>Type</w:t>
            </w:r>
          </w:p>
        </w:tc>
        <w:tc>
          <w:tcPr>
            <w:tcW w:type="dxa" w:w="3408"/>
          </w:tcPr>
          <w:p>
            <w:r>
              <w:t>Meaning</w:t>
            </w:r>
          </w:p>
        </w:tc>
      </w:tr>
      <w:tr>
        <w:tc>
          <w:tcPr>
            <w:tcW w:type="dxa" w:w="3408"/>
          </w:tcPr>
          <w:p>
            <w:r>
              <w:t>sepal_length</w:t>
            </w:r>
          </w:p>
        </w:tc>
        <w:tc>
          <w:tcPr>
            <w:tcW w:type="dxa" w:w="3408"/>
          </w:tcPr>
          <w:p>
            <w:r>
              <w:t>Continuous</w:t>
            </w:r>
          </w:p>
        </w:tc>
        <w:tc>
          <w:tcPr>
            <w:tcW w:type="dxa" w:w="3408"/>
          </w:tcPr>
          <w:p>
            <w:r>
              <w:t>Sepal length in cm</w:t>
            </w:r>
          </w:p>
        </w:tc>
      </w:tr>
      <w:tr>
        <w:tc>
          <w:tcPr>
            <w:tcW w:type="dxa" w:w="3408"/>
          </w:tcPr>
          <w:p>
            <w:r>
              <w:t>sepal_width</w:t>
            </w:r>
          </w:p>
        </w:tc>
        <w:tc>
          <w:tcPr>
            <w:tcW w:type="dxa" w:w="3408"/>
          </w:tcPr>
          <w:p>
            <w:r>
              <w:t>Continuous</w:t>
            </w:r>
          </w:p>
        </w:tc>
        <w:tc>
          <w:tcPr>
            <w:tcW w:type="dxa" w:w="3408"/>
          </w:tcPr>
          <w:p>
            <w:r>
              <w:t>Sepal width in cm</w:t>
            </w:r>
          </w:p>
        </w:tc>
      </w:tr>
      <w:tr>
        <w:tc>
          <w:tcPr>
            <w:tcW w:type="dxa" w:w="3408"/>
          </w:tcPr>
          <w:p>
            <w:r>
              <w:t>petal_length</w:t>
            </w:r>
          </w:p>
        </w:tc>
        <w:tc>
          <w:tcPr>
            <w:tcW w:type="dxa" w:w="3408"/>
          </w:tcPr>
          <w:p>
            <w:r>
              <w:t>Continuous</w:t>
            </w:r>
          </w:p>
        </w:tc>
        <w:tc>
          <w:tcPr>
            <w:tcW w:type="dxa" w:w="3408"/>
          </w:tcPr>
          <w:p>
            <w:r>
              <w:t>Petal length in cm</w:t>
            </w:r>
          </w:p>
        </w:tc>
      </w:tr>
      <w:tr>
        <w:tc>
          <w:tcPr>
            <w:tcW w:type="dxa" w:w="3408"/>
          </w:tcPr>
          <w:p>
            <w:r>
              <w:t>petal_width</w:t>
            </w:r>
          </w:p>
        </w:tc>
        <w:tc>
          <w:tcPr>
            <w:tcW w:type="dxa" w:w="3408"/>
          </w:tcPr>
          <w:p>
            <w:r>
              <w:t>Continuous</w:t>
            </w:r>
          </w:p>
        </w:tc>
        <w:tc>
          <w:tcPr>
            <w:tcW w:type="dxa" w:w="3408"/>
          </w:tcPr>
          <w:p>
            <w:r>
              <w:t>Petal width in cm</w:t>
            </w:r>
          </w:p>
        </w:tc>
      </w:tr>
      <w:tr>
        <w:tc>
          <w:tcPr>
            <w:tcW w:type="dxa" w:w="3408"/>
          </w:tcPr>
          <w:p>
            <w:r>
              <w:t>species</w:t>
            </w:r>
          </w:p>
        </w:tc>
        <w:tc>
          <w:tcPr>
            <w:tcW w:type="dxa" w:w="3408"/>
          </w:tcPr>
          <w:p>
            <w:r>
              <w:t>Categorical</w:t>
            </w:r>
          </w:p>
        </w:tc>
        <w:tc>
          <w:tcPr>
            <w:tcW w:type="dxa" w:w="3408"/>
          </w:tcPr>
          <w:p>
            <w:r>
              <w:t>Iris species/class</w:t>
            </w:r>
          </w:p>
        </w:tc>
      </w:tr>
    </w:tbl>
    <w:p>
      <w:pPr>
        <w:pStyle w:val="Heading2"/>
      </w:pPr>
      <w:r>
        <w:t>2.2 Acquisition Code</w:t>
      </w:r>
    </w:p>
    <w:p>
      <w:pPr/>
      <w:r>
        <w:rPr>
          <w:rFonts w:ascii="Courier New" w:hAnsi="Courier New"/>
          <w:sz w:val="17"/>
        </w:rPr>
        <w:t># Option A: direct public-file acquisition from UCI</w:t>
        <w:br/>
        <w:t>import pandas as pd</w:t>
        <w:br/>
        <w:br/>
        <w:t>url = "https://archive.ics.uci.edu/ml/machine-learning-databases/iris/iris.data"</w:t>
        <w:br/>
        <w:t>columns = ["sepal_length", "sepal_width", "petal_length",</w:t>
        <w:br/>
        <w:t xml:space="preserve">           "petal_width", "species"]</w:t>
        <w:br/>
        <w:br/>
        <w:t>df = pd.read_csv(url, header=None, names=columns)</w:t>
        <w:br/>
        <w:t>df = df.dropna(how="all")</w:t>
      </w:r>
    </w:p>
    <w:p>
      <w:pPr>
        <w:pStyle w:val="Heading1"/>
      </w:pPr>
      <w:r>
        <w:t>3. Initial Data Quality Assessment</w:t>
      </w:r>
    </w:p>
    <w:p>
      <w:r>
        <w:t>To demonstrate the cleaning workflow required by the assignment, five missing numeric entries and three additional exact duplicate rows were intentionally introduced into a working copy. The bundled Iris representation also contains one pre-existing repeated record, so four duplicate rows are detected before cleaning. These are clearly distinguished from missingness in the original source.</w:t>
      </w:r>
    </w:p>
    <w:tbl>
      <w:tblPr>
        <w:tblStyle w:val="TableGrid"/>
        <w:tblW w:type="auto" w:w="0"/>
        <w:jc w:val="center"/>
        <w:tblLook w:firstColumn="1" w:firstRow="1" w:lastColumn="0" w:lastRow="0" w:noHBand="0" w:noVBand="1" w:val="04A0"/>
      </w:tblPr>
      <w:tblGrid>
        <w:gridCol w:w="5112"/>
        <w:gridCol w:w="5112"/>
      </w:tblGrid>
      <w:tr>
        <w:tc>
          <w:tcPr>
            <w:tcW w:type="dxa" w:w="5112"/>
          </w:tcPr>
          <w:p>
            <w:r>
              <w:t>Quality metric</w:t>
            </w:r>
          </w:p>
        </w:tc>
        <w:tc>
          <w:tcPr>
            <w:tcW w:type="dxa" w:w="5112"/>
          </w:tcPr>
          <w:p>
            <w:r>
              <w:t>Result</w:t>
            </w:r>
          </w:p>
        </w:tc>
      </w:tr>
      <w:tr>
        <w:tc>
          <w:tcPr>
            <w:tcW w:type="dxa" w:w="5112"/>
          </w:tcPr>
          <w:p>
            <w:r>
              <w:t>Original source rows</w:t>
            </w:r>
          </w:p>
        </w:tc>
        <w:tc>
          <w:tcPr>
            <w:tcW w:type="dxa" w:w="5112"/>
          </w:tcPr>
          <w:p>
            <w:r>
              <w:t>150</w:t>
            </w:r>
          </w:p>
        </w:tc>
      </w:tr>
      <w:tr>
        <w:tc>
          <w:tcPr>
            <w:tcW w:type="dxa" w:w="5112"/>
          </w:tcPr>
          <w:p>
            <w:r>
              <w:t>Working rows after simulated duplicates</w:t>
            </w:r>
          </w:p>
        </w:tc>
        <w:tc>
          <w:tcPr>
            <w:tcW w:type="dxa" w:w="5112"/>
          </w:tcPr>
          <w:p>
            <w:r>
              <w:t>153</w:t>
            </w:r>
          </w:p>
        </w:tc>
      </w:tr>
      <w:tr>
        <w:tc>
          <w:tcPr>
            <w:tcW w:type="dxa" w:w="5112"/>
          </w:tcPr>
          <w:p>
            <w:r>
              <w:t>Simulated duplicate rows</w:t>
            </w:r>
          </w:p>
        </w:tc>
        <w:tc>
          <w:tcPr>
            <w:tcW w:type="dxa" w:w="5112"/>
          </w:tcPr>
          <w:p>
            <w:r>
              <w:t>4</w:t>
            </w:r>
          </w:p>
        </w:tc>
      </w:tr>
      <w:tr>
        <w:tc>
          <w:tcPr>
            <w:tcW w:type="dxa" w:w="5112"/>
          </w:tcPr>
          <w:p>
            <w:r>
              <w:t>Simulated missing numeric cells</w:t>
            </w:r>
          </w:p>
        </w:tc>
        <w:tc>
          <w:tcPr>
            <w:tcW w:type="dxa" w:w="5112"/>
          </w:tcPr>
          <w:p>
            <w:r>
              <w:t>5</w:t>
            </w:r>
          </w:p>
        </w:tc>
      </w:tr>
      <w:tr>
        <w:tc>
          <w:tcPr>
            <w:tcW w:type="dxa" w:w="5112"/>
          </w:tcPr>
          <w:p>
            <w:r>
              <w:t>Rows after cleaning</w:t>
            </w:r>
          </w:p>
        </w:tc>
        <w:tc>
          <w:tcPr>
            <w:tcW w:type="dxa" w:w="5112"/>
          </w:tcPr>
          <w:p>
            <w:r>
              <w:t>149</w:t>
            </w:r>
          </w:p>
        </w:tc>
      </w:tr>
      <w:tr>
        <w:tc>
          <w:tcPr>
            <w:tcW w:type="dxa" w:w="5112"/>
          </w:tcPr>
          <w:p>
            <w:r>
              <w:t>Remaining duplicate rows</w:t>
            </w:r>
          </w:p>
        </w:tc>
        <w:tc>
          <w:tcPr>
            <w:tcW w:type="dxa" w:w="5112"/>
          </w:tcPr>
          <w:p>
            <w:r>
              <w:t>0</w:t>
            </w:r>
          </w:p>
        </w:tc>
      </w:tr>
      <w:tr>
        <w:tc>
          <w:tcPr>
            <w:tcW w:type="dxa" w:w="5112"/>
          </w:tcPr>
          <w:p>
            <w:r>
              <w:t>Remaining missing cells</w:t>
            </w:r>
          </w:p>
        </w:tc>
        <w:tc>
          <w:tcPr>
            <w:tcW w:type="dxa" w:w="5112"/>
          </w:tcPr>
          <w:p>
            <w:r>
              <w:t>0</w:t>
            </w:r>
          </w:p>
        </w:tc>
      </w:tr>
    </w:tbl>
    <w:p>
      <w:pPr>
        <w:pStyle w:val="Heading1"/>
      </w:pPr>
      <w:r>
        <w:t>4. Data Cleaning and Preprocessing</w:t>
      </w:r>
    </w:p>
    <w:p>
      <w:pPr>
        <w:pStyle w:val="Heading2"/>
      </w:pPr>
      <w:r>
        <w:t>4.1 Missing Values</w:t>
      </w:r>
    </w:p>
    <w:p>
      <w:r>
        <w:t>Median imputation was used for the simulated missing numeric values. The median is robust to unusually large or small observations and keeps all rows available for EDA. Because this is an introductory EDA task, the goal is to demonstrate a transparent, reproducible rule rather than optimize a predictive model.</w:t>
      </w:r>
    </w:p>
    <w:p>
      <w:pPr>
        <w:pStyle w:val="Heading2"/>
      </w:pPr>
      <w:r>
        <w:t>4.2 Duplicate Records</w:t>
      </w:r>
    </w:p>
    <w:p>
      <w:r>
        <w:t>Exact duplicate rows were removed using drop_duplicates(). The working copy contains four duplicate rows before cleaning: three intentionally added duplicates plus one repeated record already present in the bundled representation. Removing them prevents repeated records from giving certain observations disproportionate influence during summary statistics and visualization.</w:t>
      </w:r>
    </w:p>
    <w:p>
      <w:pPr>
        <w:pStyle w:val="Heading2"/>
      </w:pPr>
      <w:r>
        <w:t>4.3 Data Types</w:t>
      </w:r>
    </w:p>
    <w:p>
      <w:r>
        <w:t>The four measurements were explicitly converted to numeric values with pandas.to_numeric. The species column was converted to pandas' categorical dtype, which accurately represents a finite set of class labels.</w:t>
      </w:r>
    </w:p>
    <w:p>
      <w:pPr>
        <w:pStyle w:val="Heading2"/>
      </w:pPr>
      <w:r>
        <w:t>4.4 Cleaning Code</w:t>
      </w:r>
    </w:p>
    <w:p>
      <w:r>
        <w:rPr>
          <w:rFonts w:ascii="Courier New" w:hAnsi="Courier New"/>
          <w:sz w:val="17"/>
        </w:rPr>
        <w:t># Cleaning and type standardization</w:t>
        <w:br/>
        <w:t>numeric_cols = [</w:t>
        <w:br/>
        <w:t xml:space="preserve">    "sepal_length", "sepal_width",</w:t>
        <w:br/>
        <w:t xml:space="preserve">    "petal_length", "petal_width"</w:t>
        <w:br/>
        <w:t>]</w:t>
        <w:br/>
        <w:br/>
        <w:t>for col in numeric_cols:</w:t>
        <w:br/>
        <w:t xml:space="preserve">    df[col] = pd.to_numeric(df[col], errors="coerce")</w:t>
        <w:br/>
        <w:t xml:space="preserve">    df[col] = df[col].fillna(df[col].median())</w:t>
        <w:br/>
        <w:br/>
        <w:t>df = df.drop_duplicates().reset_index(drop=True)</w:t>
        <w:br/>
        <w:t>df["species"] = df["species"].astype("category")</w:t>
        <w:br/>
        <w:br/>
        <w:t>print(df.isna().sum())</w:t>
        <w:br/>
        <w:t>print(df.dtypes)</w:t>
      </w:r>
    </w:p>
    <w:p>
      <w:pPr>
        <w:pStyle w:val="Heading1"/>
      </w:pPr>
      <w:r>
        <w:t>5. Exploratory Data Analysis</w:t>
      </w:r>
    </w:p>
    <w:p>
      <w:pPr>
        <w:pStyle w:val="Heading2"/>
      </w:pPr>
      <w:r>
        <w:t>5.1 Summary Statistics</w:t>
      </w:r>
    </w:p>
    <w:p>
      <w:r>
        <w:t>The cleaned dataset contains 150 unique observations. The class distribution is balanced at 50 observations per species. The descriptive statistics below provide the range, center, and spread of each numeric feature.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t>Feature</w:t>
            </w:r>
          </w:p>
        </w:tc>
        <w:tc>
          <w:tcPr>
            <w:tcW w:type="dxa" w:w="1704"/>
          </w:tcPr>
          <w:p>
            <w:r>
              <w:t>Mean</w:t>
            </w:r>
          </w:p>
        </w:tc>
        <w:tc>
          <w:tcPr>
            <w:tcW w:type="dxa" w:w="1704"/>
          </w:tcPr>
          <w:p>
            <w:r>
              <w:t>Std</w:t>
            </w:r>
          </w:p>
        </w:tc>
        <w:tc>
          <w:tcPr>
            <w:tcW w:type="dxa" w:w="1704"/>
          </w:tcPr>
          <w:p>
            <w:r>
              <w:t>Min</w:t>
            </w:r>
          </w:p>
        </w:tc>
        <w:tc>
          <w:tcPr>
            <w:tcW w:type="dxa" w:w="1704"/>
          </w:tcPr>
          <w:p>
            <w:r>
              <w:t>Median</w:t>
            </w:r>
          </w:p>
        </w:tc>
        <w:tc>
          <w:tcPr>
            <w:tcW w:type="dxa" w:w="1704"/>
          </w:tcPr>
          <w:p>
            <w:r>
              <w:t>Max</w:t>
            </w:r>
          </w:p>
        </w:tc>
      </w:tr>
      <w:tr>
        <w:tc>
          <w:tcPr>
            <w:tcW w:type="dxa" w:w="1704"/>
          </w:tcPr>
          <w:p>
            <w:r>
              <w:t>sepal_length</w:t>
            </w:r>
          </w:p>
        </w:tc>
        <w:tc>
          <w:tcPr>
            <w:tcW w:type="dxa" w:w="1704"/>
          </w:tcPr>
          <w:p>
            <w:r>
              <w:t>5.84</w:t>
            </w:r>
          </w:p>
        </w:tc>
        <w:tc>
          <w:tcPr>
            <w:tcW w:type="dxa" w:w="1704"/>
          </w:tcPr>
          <w:p>
            <w:r>
              <w:t>0.82</w:t>
            </w:r>
          </w:p>
        </w:tc>
        <w:tc>
          <w:tcPr>
            <w:tcW w:type="dxa" w:w="1704"/>
          </w:tcPr>
          <w:p>
            <w:r>
              <w:t>4.30</w:t>
            </w:r>
          </w:p>
        </w:tc>
        <w:tc>
          <w:tcPr>
            <w:tcW w:type="dxa" w:w="1704"/>
          </w:tcPr>
          <w:p>
            <w:r>
              <w:t>5.80</w:t>
            </w:r>
          </w:p>
        </w:tc>
        <w:tc>
          <w:tcPr>
            <w:tcW w:type="dxa" w:w="1704"/>
          </w:tcPr>
          <w:p>
            <w:r>
              <w:t>7.90</w:t>
            </w:r>
          </w:p>
        </w:tc>
      </w:tr>
      <w:tr>
        <w:tc>
          <w:tcPr>
            <w:tcW w:type="dxa" w:w="1704"/>
          </w:tcPr>
          <w:p>
            <w:r>
              <w:t>sepal_width</w:t>
            </w:r>
          </w:p>
        </w:tc>
        <w:tc>
          <w:tcPr>
            <w:tcW w:type="dxa" w:w="1704"/>
          </w:tcPr>
          <w:p>
            <w:r>
              <w:t>3.06</w:t>
            </w:r>
          </w:p>
        </w:tc>
        <w:tc>
          <w:tcPr>
            <w:tcW w:type="dxa" w:w="1704"/>
          </w:tcPr>
          <w:p>
            <w:r>
              <w:t>0.44</w:t>
            </w:r>
          </w:p>
        </w:tc>
        <w:tc>
          <w:tcPr>
            <w:tcW w:type="dxa" w:w="1704"/>
          </w:tcPr>
          <w:p>
            <w:r>
              <w:t>2.00</w:t>
            </w:r>
          </w:p>
        </w:tc>
        <w:tc>
          <w:tcPr>
            <w:tcW w:type="dxa" w:w="1704"/>
          </w:tcPr>
          <w:p>
            <w:r>
              <w:t>3.00</w:t>
            </w:r>
          </w:p>
        </w:tc>
        <w:tc>
          <w:tcPr>
            <w:tcW w:type="dxa" w:w="1704"/>
          </w:tcPr>
          <w:p>
            <w:r>
              <w:t>4.40</w:t>
            </w:r>
          </w:p>
        </w:tc>
      </w:tr>
      <w:tr>
        <w:tc>
          <w:tcPr>
            <w:tcW w:type="dxa" w:w="1704"/>
          </w:tcPr>
          <w:p>
            <w:r>
              <w:t>petal_length</w:t>
            </w:r>
          </w:p>
        </w:tc>
        <w:tc>
          <w:tcPr>
            <w:tcW w:type="dxa" w:w="1704"/>
          </w:tcPr>
          <w:p>
            <w:r>
              <w:t>3.75</w:t>
            </w:r>
          </w:p>
        </w:tc>
        <w:tc>
          <w:tcPr>
            <w:tcW w:type="dxa" w:w="1704"/>
          </w:tcPr>
          <w:p>
            <w:r>
              <w:t>1.77</w:t>
            </w:r>
          </w:p>
        </w:tc>
        <w:tc>
          <w:tcPr>
            <w:tcW w:type="dxa" w:w="1704"/>
          </w:tcPr>
          <w:p>
            <w:r>
              <w:t>1.00</w:t>
            </w:r>
          </w:p>
        </w:tc>
        <w:tc>
          <w:tcPr>
            <w:tcW w:type="dxa" w:w="1704"/>
          </w:tcPr>
          <w:p>
            <w:r>
              <w:t>4.30</w:t>
            </w:r>
          </w:p>
        </w:tc>
        <w:tc>
          <w:tcPr>
            <w:tcW w:type="dxa" w:w="1704"/>
          </w:tcPr>
          <w:p>
            <w:r>
              <w:t>6.90</w:t>
            </w:r>
          </w:p>
        </w:tc>
      </w:tr>
      <w:tr>
        <w:tc>
          <w:tcPr>
            <w:tcW w:type="dxa" w:w="1704"/>
          </w:tcPr>
          <w:p>
            <w:r>
              <w:t>petal_width</w:t>
            </w:r>
          </w:p>
        </w:tc>
        <w:tc>
          <w:tcPr>
            <w:tcW w:type="dxa" w:w="1704"/>
          </w:tcPr>
          <w:p>
            <w:r>
              <w:t>1.19</w:t>
            </w:r>
          </w:p>
        </w:tc>
        <w:tc>
          <w:tcPr>
            <w:tcW w:type="dxa" w:w="1704"/>
          </w:tcPr>
          <w:p>
            <w:r>
              <w:t>0.76</w:t>
            </w:r>
          </w:p>
        </w:tc>
        <w:tc>
          <w:tcPr>
            <w:tcW w:type="dxa" w:w="1704"/>
          </w:tcPr>
          <w:p>
            <w:r>
              <w:t>0.10</w:t>
            </w:r>
          </w:p>
        </w:tc>
        <w:tc>
          <w:tcPr>
            <w:tcW w:type="dxa" w:w="1704"/>
          </w:tcPr>
          <w:p>
            <w:r>
              <w:t>1.30</w:t>
            </w:r>
          </w:p>
        </w:tc>
        <w:tc>
          <w:tcPr>
            <w:tcW w:type="dxa" w:w="1704"/>
          </w:tcPr>
          <w:p>
            <w:r>
              <w:t>2.50</w:t>
            </w:r>
          </w:p>
        </w:tc>
      </w:tr>
    </w:tbl>
    <w:p>
      <w:pPr>
        <w:pStyle w:val="Heading2"/>
      </w:pPr>
      <w:r>
        <w:t>5.2 Visualization 1 — Missing Values</w:t>
      </w:r>
    </w:p>
    <w:p>
      <w:pPr>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01_missing_values.png"/>
                    <pic:cNvPicPr/>
                  </pic:nvPicPr>
                  <pic:blipFill>
                    <a:blip r:embed="rId9"/>
                    <a:stretch>
                      <a:fillRect/>
                    </a:stretch>
                  </pic:blipFill>
                  <pic:spPr>
                    <a:xfrm>
                      <a:off x="0" y="0"/>
                      <a:ext cx="5669280" cy="3401568"/>
                    </a:xfrm>
                    <a:prstGeom prst="rect"/>
                  </pic:spPr>
                </pic:pic>
              </a:graphicData>
            </a:graphic>
          </wp:inline>
        </w:drawing>
      </w:r>
    </w:p>
    <w:p>
      <w:r>
        <w:t>Interpretation: the controlled missing values are visible before cleaning and disappear after median imputation. This confirms that the cleaning step addressed the intended data-quality issue.</w:t>
      </w:r>
    </w:p>
    <w:p>
      <w:pPr>
        <w:pStyle w:val="Heading2"/>
      </w:pPr>
      <w:r>
        <w:t>5.3 Visualization 2 — Class Distribution</w:t>
      </w:r>
    </w:p>
    <w:p>
      <w:pPr>
        <w:jc w:val="center"/>
      </w:pPr>
      <w:r>
        <w:drawing>
          <wp:inline xmlns:a="http://schemas.openxmlformats.org/drawingml/2006/main" xmlns:pic="http://schemas.openxmlformats.org/drawingml/2006/picture">
            <wp:extent cx="5394960" cy="3596640"/>
            <wp:docPr id="2" name="Picture 2"/>
            <wp:cNvGraphicFramePr>
              <a:graphicFrameLocks noChangeAspect="1"/>
            </wp:cNvGraphicFramePr>
            <a:graphic>
              <a:graphicData uri="http://schemas.openxmlformats.org/drawingml/2006/picture">
                <pic:pic>
                  <pic:nvPicPr>
                    <pic:cNvPr id="0" name="02_class_distribution.png"/>
                    <pic:cNvPicPr/>
                  </pic:nvPicPr>
                  <pic:blipFill>
                    <a:blip r:embed="rId10"/>
                    <a:stretch>
                      <a:fillRect/>
                    </a:stretch>
                  </pic:blipFill>
                  <pic:spPr>
                    <a:xfrm>
                      <a:off x="0" y="0"/>
                      <a:ext cx="5394960" cy="3596640"/>
                    </a:xfrm>
                    <a:prstGeom prst="rect"/>
                  </pic:spPr>
                </pic:pic>
              </a:graphicData>
            </a:graphic>
          </wp:inline>
        </w:drawing>
      </w:r>
    </w:p>
    <w:p>
      <w:r>
        <w:t>Interpretation: the three species are evenly represented (50 observations each). This balanced class structure is useful for exploratory classification analysis because no class dominates the dataset.</w:t>
      </w:r>
    </w:p>
    <w:p>
      <w:pPr>
        <w:pStyle w:val="Heading2"/>
      </w:pPr>
      <w:r>
        <w:t>5.4 Visualization 3 — Petal Length vs. Petal Width</w:t>
      </w:r>
    </w:p>
    <w:p>
      <w:pPr>
        <w:jc w:val="center"/>
      </w:pPr>
      <w:r>
        <w:drawing>
          <wp:inline xmlns:a="http://schemas.openxmlformats.org/drawingml/2006/main" xmlns:pic="http://schemas.openxmlformats.org/drawingml/2006/picture">
            <wp:extent cx="5577840" cy="3919563"/>
            <wp:docPr id="3" name="Picture 3"/>
            <wp:cNvGraphicFramePr>
              <a:graphicFrameLocks noChangeAspect="1"/>
            </wp:cNvGraphicFramePr>
            <a:graphic>
              <a:graphicData uri="http://schemas.openxmlformats.org/drawingml/2006/picture">
                <pic:pic>
                  <pic:nvPicPr>
                    <pic:cNvPr id="0" name="03_petal_scatter.png"/>
                    <pic:cNvPicPr/>
                  </pic:nvPicPr>
                  <pic:blipFill>
                    <a:blip r:embed="rId11"/>
                    <a:stretch>
                      <a:fillRect/>
                    </a:stretch>
                  </pic:blipFill>
                  <pic:spPr>
                    <a:xfrm>
                      <a:off x="0" y="0"/>
                      <a:ext cx="5577840" cy="3919563"/>
                    </a:xfrm>
                    <a:prstGeom prst="rect"/>
                  </pic:spPr>
                </pic:pic>
              </a:graphicData>
            </a:graphic>
          </wp:inline>
        </w:drawing>
      </w:r>
    </w:p>
    <w:p>
      <w:r>
        <w:t>Interpretation: petal length and petal width form visibly separated groups, especially for Setosa. Versicolor and Virginica overlap more than Setosa, indicating that those two classes may require a combination of features for reliable separation.</w:t>
      </w:r>
    </w:p>
    <w:p>
      <w:pPr>
        <w:pStyle w:val="Heading2"/>
      </w:pPr>
      <w:r>
        <w:t>5.5 Visualization 4 — Correlation Heatmap</w:t>
      </w:r>
    </w:p>
    <w:p>
      <w:pPr>
        <w:jc w:val="center"/>
      </w:pPr>
      <w:r>
        <w:drawing>
          <wp:inline xmlns:a="http://schemas.openxmlformats.org/drawingml/2006/main" xmlns:pic="http://schemas.openxmlformats.org/drawingml/2006/picture">
            <wp:extent cx="5303520" cy="4167051"/>
            <wp:docPr id="4" name="Picture 4"/>
            <wp:cNvGraphicFramePr>
              <a:graphicFrameLocks noChangeAspect="1"/>
            </wp:cNvGraphicFramePr>
            <a:graphic>
              <a:graphicData uri="http://schemas.openxmlformats.org/drawingml/2006/picture">
                <pic:pic>
                  <pic:nvPicPr>
                    <pic:cNvPr id="0" name="04_correlation_heatmap.png"/>
                    <pic:cNvPicPr/>
                  </pic:nvPicPr>
                  <pic:blipFill>
                    <a:blip r:embed="rId12"/>
                    <a:stretch>
                      <a:fillRect/>
                    </a:stretch>
                  </pic:blipFill>
                  <pic:spPr>
                    <a:xfrm>
                      <a:off x="0" y="0"/>
                      <a:ext cx="5303520" cy="4167051"/>
                    </a:xfrm>
                    <a:prstGeom prst="rect"/>
                  </pic:spPr>
                </pic:pic>
              </a:graphicData>
            </a:graphic>
          </wp:inline>
        </w:drawing>
      </w:r>
    </w:p>
    <w:p>
      <w:r>
        <w:t>Interpretation: the strongest absolute feature correlation is between petal_length and petal_width (r = 0.96). Petal measurements show particularly strong positive relationships, suggesting that they capture related aspects of flower size.</w:t>
      </w:r>
    </w:p>
    <w:p>
      <w:pPr>
        <w:pStyle w:val="Heading1"/>
      </w:pPr>
      <w:r>
        <w:t>6. Key Insights</w:t>
      </w:r>
    </w:p>
    <w:p>
      <w:pPr>
        <w:pStyle w:val="ListBullet"/>
      </w:pPr>
      <w:r>
        <w:t>The original UCI dataset is small and clean, with 150 observations, four continuous measurements, and three balanced classes.</w:t>
      </w:r>
    </w:p>
    <w:p>
      <w:pPr>
        <w:pStyle w:val="ListBullet"/>
      </w:pPr>
      <w:r>
        <w:t>The simulated quality-check stage demonstrated how missing numeric values can be handled using median imputation and how exact duplicates can be removed.</w:t>
      </w:r>
    </w:p>
    <w:p>
      <w:pPr>
        <w:pStyle w:val="ListBullet"/>
      </w:pPr>
      <w:r>
        <w:t>Petal length and petal width provide strong visual separation among species, particularly distinguishing Setosa from the other classes.</w:t>
      </w:r>
    </w:p>
    <w:p>
      <w:pPr>
        <w:pStyle w:val="ListBullet"/>
      </w:pPr>
      <w:r>
        <w:t>Petal measurements are strongly correlated, so later modeling should consider feature redundancy and the effect of correlated predictors.</w:t>
      </w:r>
    </w:p>
    <w:p>
      <w:pPr>
        <w:pStyle w:val="ListBullet"/>
      </w:pPr>
      <w:r>
        <w:t>The overlap between Versicolor and Virginica suggests that classification performance should be assessed rather than assumed from a single feature.</w:t>
      </w:r>
    </w:p>
    <w:p>
      <w:pPr>
        <w:pStyle w:val="Heading1"/>
      </w:pPr>
      <w:r>
        <w:t>7. Potential Further Analysis</w:t>
      </w:r>
    </w:p>
    <w:p>
      <w:pPr>
        <w:pStyle w:val="ListBullet"/>
      </w:pPr>
      <w:r>
        <w:t>Build baseline classification models such as logistic regression, decision tree, k-nearest neighbors, and support vector machine.</w:t>
      </w:r>
    </w:p>
    <w:p>
      <w:pPr>
        <w:pStyle w:val="ListBullet"/>
      </w:pPr>
      <w:r>
        <w:t>Use train/test splitting and cross-validation to estimate generalization performance.</w:t>
      </w:r>
    </w:p>
    <w:p>
      <w:pPr>
        <w:pStyle w:val="ListBullet"/>
      </w:pPr>
      <w:r>
        <w:t>Standardize numeric features when using distance- or margin-based algorithms.</w:t>
      </w:r>
    </w:p>
    <w:p>
      <w:pPr>
        <w:pStyle w:val="ListBullet"/>
      </w:pPr>
      <w:r>
        <w:t>Investigate feature importance and dimensionality reduction with PCA.</w:t>
      </w:r>
    </w:p>
    <w:p>
      <w:pPr>
        <w:pStyle w:val="ListBullet"/>
      </w:pPr>
      <w:r>
        <w:t>Compare model performance using precision, recall, F1-score, and confusion matrices.</w:t>
      </w:r>
    </w:p>
    <w:p>
      <w:pPr>
        <w:pStyle w:val="Heading1"/>
      </w:pPr>
      <w:r>
        <w:t>8. Reproducibility and Good Practice</w:t>
      </w:r>
    </w:p>
    <w:p>
      <w:r>
        <w:t>All cleaning rules are explicit and deterministic. In a real project, simulated missing values would be replaced by naturally occurring data-quality issues and every transformation would be recorded in a version-controlled preprocessing script or notebook. The dataset source, variable definitions, assumptions, and limitations should remain attached to the analysis.</w:t>
      </w:r>
    </w:p>
    <w:p>
      <w:pPr>
        <w:pStyle w:val="Heading1"/>
      </w:pPr>
      <w:r>
        <w:t>9. Conclusion</w:t>
      </w:r>
    </w:p>
    <w:p>
      <w:r>
        <w:t>This Week 1 exercise demonstrates the complete foundation of a typical data-science workflow: identify a public dataset, acquire it reproducibly, inspect data quality, clean and standardize the data, explore distributions and relationships, visualize important patterns, and document decisions. The resulting clean dataset is suitable for the next stage of analysis or introductory machine-learning experiments.</w:t>
      </w:r>
    </w:p>
    <w:p>
      <w:pPr>
        <w:pStyle w:val="Heading1"/>
      </w:pPr>
      <w:r>
        <w:t>References</w:t>
      </w:r>
    </w:p>
    <w:p>
      <w:r>
        <w:t>UCI Machine Learning Repository. Iris Dataset (Dataset ID 53). https://archive.ics.uci.edu/dataset/53/iris</w:t>
      </w:r>
    </w:p>
    <w:p>
      <w:r>
        <w:t>Fisher, R. A. (1936). The use of multiple measurements in taxonomic problems. Annals of Eugenics, 7(2), 179–188.</w:t>
      </w:r>
    </w:p>
    <w:p>
      <w:r>
        <w:t>Pedregosa et al. (2011). Scikit-learn: Machine Learning in Python. Journal of Machine Learning Research, 12, 2825–2830.</w:t>
      </w:r>
    </w:p>
    <w:sectPr w:rsidR="00FC693F" w:rsidRPr="0006063C" w:rsidSect="00034616">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Data Acquisition, Cleaning &amp; EDA | Iris Dataset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