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(the "Agreement") is entered into as of {{effective_date}} (the "Effective Date") by and between BugleRock Capital Pte. Ltd. ("BugleRock") and {{counterparty_name}}, with notice email {{counterparty_email}} (the "Counterparty").</w:t>
      </w:r>
    </w:p>
    <w:p>
      <w:pPr>
        <w:pStyle w:val="Heading2"/>
      </w:pPr>
      <w:r>
        <w:t>1. Confidential Information</w:t>
      </w:r>
    </w:p>
    <w:p>
      <w:r>
        <w:t>Each party may disclose to the other certain non-public business, financial, technical, and operational information ("Confidential Information"). The receiving party shall use Confidential Information solely to evaluate or pursue a potential business relationship between the parties.</w:t>
      </w:r>
    </w:p>
    <w:p>
      <w:pPr>
        <w:pStyle w:val="Heading2"/>
      </w:pPr>
      <w:r>
        <w:t>2. Term</w:t>
      </w:r>
    </w:p>
    <w:p>
      <w:r>
        <w:t>This Agreement shall remain in force for {{term_years}} years from the Effective Date, after which the confidentiality obligations shall continue for an additional three (3) years with respect to any Confidential Information disclosed during the term.</w:t>
      </w:r>
    </w:p>
    <w:p>
      <w:pPr>
        <w:pStyle w:val="Heading2"/>
      </w:pPr>
      <w:r>
        <w:t>3. Exclusions</w:t>
      </w:r>
    </w:p>
    <w:p>
      <w:r>
        <w:t>Confidential Information does not include information that: (a) was in the receiving party's possession prior to disclosure; (b) becomes publicly known through no fault of the receiving party; (c) is rightfully received from a third party without confidentiality obligation; or (d) is independently developed without use of the Confidential Information.</w:t>
      </w:r>
    </w:p>
    <w:p>
      <w:pPr>
        <w:pStyle w:val="Heading2"/>
      </w:pPr>
      <w:r>
        <w:t>4. Governing Law</w:t>
      </w:r>
    </w:p>
    <w:p>
      <w:r>
        <w:t>This Agreement shall be governed by and construed in accordance with the laws of {{governing_law}}, without regard to its conflict of laws principles.</w:t>
      </w:r>
    </w:p>
    <w:p>
      <w:pPr>
        <w:pStyle w:val="Heading2"/>
      </w:pPr>
      <w:r>
        <w:t>5.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BugleRock Capital Pte. Ltd.</w:t>
            </w:r>
          </w:p>
        </w:tc>
        <w:tc>
          <w:tcPr>
            <w:tcW w:type="dxa" w:w="4320"/>
          </w:tcPr>
          <w:p>
            <w:r>
              <w:t>{{counterparty_name}}</w:t>
            </w:r>
          </w:p>
        </w:tc>
      </w:tr>
      <w:tr>
        <w:tc>
          <w:tcPr>
            <w:tcW w:type="dxa" w:w="4320"/>
          </w:tcPr>
          <w:p>
            <w:r>
              <w:t>Name: {{signatory_name}}</w:t>
            </w:r>
          </w:p>
        </w:tc>
        <w:tc>
          <w:tcPr>
            <w:tcW w:type="dxa" w:w="4320"/>
          </w:tcPr>
          <w:p>
            <w:r>
              <w:t>Name: ________________________</w:t>
            </w:r>
          </w:p>
        </w:tc>
      </w:tr>
      <w:tr>
        <w:tc>
          <w:tcPr>
            <w:tcW w:type="dxa" w:w="4320"/>
          </w:tcPr>
          <w:p>
            <w:r>
              <w:t>Title: {{signatory_title}}</w:t>
            </w:r>
          </w:p>
        </w:tc>
        <w:tc>
          <w:tcPr>
            <w:tcW w:type="dxa" w:w="4320"/>
          </w:tcPr>
          <w:p>
            <w:r>
              <w:t>Title: 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