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422" w14:paraId="306D8EAF" w14:textId="77777777">
        <w:tc>
          <w:tcPr>
            <w:tcW w:w="9360" w:type="dxa"/>
            <w:tcBorders>
              <w:top w:val="none" w:sz="0" w:space="0" w:color="FFFFFF"/>
              <w:left w:val="none" w:sz="0" w:space="0" w:color="FFFFFF"/>
              <w:bottom w:val="none" w:sz="0" w:space="0" w:color="FFFFFF"/>
              <w:right w:val="none" w:sz="0" w:space="0" w:color="FFFFFF"/>
            </w:tcBorders>
            <w:shd w:val="clear" w:color="auto" w:fill="0D0D0D"/>
            <w:tcMar>
              <w:top w:w="200" w:type="dxa"/>
              <w:left w:w="300" w:type="dxa"/>
              <w:bottom w:w="200" w:type="dxa"/>
              <w:right w:w="300" w:type="dxa"/>
            </w:tcMar>
          </w:tcPr>
          <w:p w14:paraId="3AC9E523" w14:textId="77777777" w:rsidR="00DE4422" w:rsidRDefault="00863F48">
            <w:pPr>
              <w:jc w:val="center"/>
            </w:pPr>
            <w:r>
              <w:rPr>
                <w:b/>
                <w:bCs/>
                <w:color w:val="F5A800"/>
                <w:sz w:val="48"/>
                <w:szCs w:val="48"/>
              </w:rPr>
              <w:t>Global Admissions Performance Dashboard</w:t>
            </w:r>
          </w:p>
          <w:p w14:paraId="6E684009" w14:textId="77777777" w:rsidR="00DE4422" w:rsidRDefault="00863F48">
            <w:pPr>
              <w:jc w:val="center"/>
            </w:pPr>
            <w:r>
              <w:rPr>
                <w:color w:val="FFFFFF"/>
                <w:sz w:val="26"/>
                <w:szCs w:val="26"/>
              </w:rPr>
              <w:t>Dashboard Design Documentation</w:t>
            </w:r>
          </w:p>
        </w:tc>
      </w:tr>
    </w:tbl>
    <w:p w14:paraId="76079B53" w14:textId="77777777" w:rsidR="00DE4422" w:rsidRDefault="00DE442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E4422" w14:paraId="06225160" w14:textId="77777777">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CDEB17F" w14:textId="77777777" w:rsidR="00DE4422" w:rsidRDefault="00863F48">
            <w:r>
              <w:rPr>
                <w:b/>
                <w:bCs/>
                <w:color w:val="555555"/>
                <w:sz w:val="20"/>
                <w:szCs w:val="20"/>
              </w:rPr>
              <w:t>Tool</w:t>
            </w:r>
          </w:p>
          <w:p w14:paraId="264C0FCF" w14:textId="77777777" w:rsidR="00DE4422" w:rsidRDefault="00863F48">
            <w:r>
              <w:rPr>
                <w:sz w:val="20"/>
                <w:szCs w:val="20"/>
              </w:rPr>
              <w:t>Google Looker Studio</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07344B" w14:textId="77777777" w:rsidR="00DE4422" w:rsidRDefault="00863F48">
            <w:r>
              <w:rPr>
                <w:b/>
                <w:bCs/>
                <w:color w:val="555555"/>
                <w:sz w:val="20"/>
                <w:szCs w:val="20"/>
              </w:rPr>
              <w:t>Data Source</w:t>
            </w:r>
          </w:p>
          <w:p w14:paraId="626DEEA5" w14:textId="77777777" w:rsidR="00DE4422" w:rsidRDefault="00863F48">
            <w:r>
              <w:rPr>
                <w:sz w:val="20"/>
                <w:szCs w:val="20"/>
              </w:rPr>
              <w:t>Google Sheets</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692222" w14:textId="77777777" w:rsidR="00DE4422" w:rsidRDefault="00863F48">
            <w:r>
              <w:rPr>
                <w:b/>
                <w:bCs/>
                <w:color w:val="555555"/>
                <w:sz w:val="20"/>
                <w:szCs w:val="20"/>
              </w:rPr>
              <w:t>Audience</w:t>
            </w:r>
          </w:p>
          <w:p w14:paraId="124F454D" w14:textId="77777777" w:rsidR="00DE4422" w:rsidRDefault="00863F48">
            <w:r>
              <w:rPr>
                <w:sz w:val="20"/>
                <w:szCs w:val="20"/>
              </w:rPr>
              <w:t>Admissions Management &amp; Leadership</w:t>
            </w:r>
          </w:p>
        </w:tc>
      </w:tr>
    </w:tbl>
    <w:p w14:paraId="6D987E67" w14:textId="77777777" w:rsidR="00DE4422" w:rsidRDefault="00DE4422">
      <w:pPr>
        <w:spacing w:before="80" w:after="80"/>
      </w:pPr>
    </w:p>
    <w:p w14:paraId="0E362DE8" w14:textId="77777777" w:rsidR="00DE4422" w:rsidRDefault="00DE4422">
      <w:pPr>
        <w:pBdr>
          <w:bottom w:val="single" w:sz="4" w:space="1" w:color="F5A800"/>
        </w:pBdr>
        <w:spacing w:before="120" w:after="120"/>
      </w:pPr>
    </w:p>
    <w:p w14:paraId="4F8BD3C1" w14:textId="77777777" w:rsidR="00DE4422" w:rsidRDefault="00863F48">
      <w:pPr>
        <w:pStyle w:val="Heading1"/>
      </w:pPr>
      <w:r>
        <w:t>1. Purpose and Goals</w:t>
      </w:r>
    </w:p>
    <w:p w14:paraId="42476EFA" w14:textId="77777777" w:rsidR="00DE4422" w:rsidRDefault="00863F48">
      <w:pPr>
        <w:spacing w:before="60" w:after="100"/>
      </w:pPr>
      <w:r>
        <w:rPr>
          <w:color w:val="333333"/>
        </w:rPr>
        <w:t>The Global Admissions Performance Dashboard is a single-page, real-time reporting tool built in Google Looker Studio to give admissions teams and institutional leadership a comprehensive, at-a-glance view of the global applicant pipeline.</w:t>
      </w:r>
    </w:p>
    <w:p w14:paraId="49793AD2" w14:textId="77777777" w:rsidR="00DE4422" w:rsidRDefault="00DE4422">
      <w:pPr>
        <w:spacing w:before="80" w:after="80"/>
      </w:pPr>
    </w:p>
    <w:p w14:paraId="4AD26780" w14:textId="77777777" w:rsidR="00DE4422" w:rsidRDefault="00863F48">
      <w:pPr>
        <w:pStyle w:val="Heading2"/>
      </w:pPr>
      <w:r>
        <w:t>Primary Purpose</w:t>
      </w:r>
    </w:p>
    <w:p w14:paraId="04D971D8" w14:textId="77777777" w:rsidR="00DE4422" w:rsidRDefault="00863F48">
      <w:pPr>
        <w:pStyle w:val="ListParagraph"/>
        <w:numPr>
          <w:ilvl w:val="0"/>
          <w:numId w:val="2"/>
        </w:numPr>
        <w:spacing w:before="40" w:after="40"/>
      </w:pPr>
      <w:r>
        <w:rPr>
          <w:color w:val="333333"/>
        </w:rPr>
        <w:t>Track the total volume of applicants, admitted students, and pending decisions across all intake cycles.</w:t>
      </w:r>
    </w:p>
    <w:p w14:paraId="24F124DE" w14:textId="77777777" w:rsidR="00DE4422" w:rsidRDefault="00863F48">
      <w:pPr>
        <w:pStyle w:val="ListParagraph"/>
        <w:numPr>
          <w:ilvl w:val="0"/>
          <w:numId w:val="2"/>
        </w:numPr>
        <w:spacing w:before="40" w:after="40"/>
      </w:pPr>
      <w:r>
        <w:rPr>
          <w:color w:val="333333"/>
        </w:rPr>
        <w:t>Monitor the global acceptance rate and understand how it varies by country, region, and academic program.</w:t>
      </w:r>
    </w:p>
    <w:p w14:paraId="5220115E" w14:textId="77777777" w:rsidR="00DE4422" w:rsidRDefault="00863F48">
      <w:pPr>
        <w:pStyle w:val="ListParagraph"/>
        <w:numPr>
          <w:ilvl w:val="0"/>
          <w:numId w:val="2"/>
        </w:numPr>
        <w:spacing w:before="40" w:after="40"/>
      </w:pPr>
      <w:r>
        <w:rPr>
          <w:color w:val="333333"/>
        </w:rPr>
        <w:t>Identify geographic concentration of applicants and evaluate outreach effectiveness by caller/agent.</w:t>
      </w:r>
    </w:p>
    <w:p w14:paraId="3347303F" w14:textId="77777777" w:rsidR="00DE4422" w:rsidRDefault="00863F48">
      <w:pPr>
        <w:pStyle w:val="ListParagraph"/>
        <w:numPr>
          <w:ilvl w:val="0"/>
          <w:numId w:val="2"/>
        </w:numPr>
        <w:spacing w:before="40" w:after="40"/>
      </w:pPr>
      <w:r>
        <w:rPr>
          <w:color w:val="333333"/>
        </w:rPr>
        <w:t xml:space="preserve">Support data-driven decisions for recruitment strategy, resource allocation, and </w:t>
      </w:r>
      <w:proofErr w:type="spellStart"/>
      <w:r>
        <w:rPr>
          <w:color w:val="333333"/>
        </w:rPr>
        <w:t>enrollment</w:t>
      </w:r>
      <w:proofErr w:type="spellEnd"/>
      <w:r>
        <w:rPr>
          <w:color w:val="333333"/>
        </w:rPr>
        <w:t xml:space="preserve"> planning.</w:t>
      </w:r>
    </w:p>
    <w:p w14:paraId="4D12A658" w14:textId="77777777" w:rsidR="00DE4422" w:rsidRDefault="00DE4422">
      <w:pPr>
        <w:spacing w:before="80" w:after="80"/>
      </w:pPr>
    </w:p>
    <w:p w14:paraId="5F84666B" w14:textId="77777777" w:rsidR="00DE4422" w:rsidRDefault="00863F48">
      <w:pPr>
        <w:pStyle w:val="Heading2"/>
      </w:pPr>
      <w:r>
        <w:t>Strategic Goals</w:t>
      </w:r>
    </w:p>
    <w:p w14:paraId="7559F8A6" w14:textId="77777777" w:rsidR="00DE4422" w:rsidRDefault="00863F48">
      <w:pPr>
        <w:pStyle w:val="ListParagraph"/>
        <w:numPr>
          <w:ilvl w:val="0"/>
          <w:numId w:val="2"/>
        </w:numPr>
        <w:spacing w:before="40" w:after="40"/>
      </w:pPr>
      <w:r>
        <w:rPr>
          <w:color w:val="333333"/>
        </w:rPr>
        <w:t>Provide leadership with an executive-level summary of the admissions funnel without requiring manual reporting.</w:t>
      </w:r>
    </w:p>
    <w:p w14:paraId="17A4FA15" w14:textId="77777777" w:rsidR="00DE4422" w:rsidRDefault="00863F48">
      <w:pPr>
        <w:pStyle w:val="ListParagraph"/>
        <w:numPr>
          <w:ilvl w:val="0"/>
          <w:numId w:val="2"/>
        </w:numPr>
        <w:spacing w:before="40" w:after="40"/>
      </w:pPr>
      <w:r>
        <w:rPr>
          <w:color w:val="333333"/>
        </w:rPr>
        <w:t>Enable drill-down filtering by Country, Intake Year, and Admission Status to answer specific operational questions.</w:t>
      </w:r>
    </w:p>
    <w:p w14:paraId="2F1AC22F" w14:textId="77777777" w:rsidR="00DE4422" w:rsidRDefault="00863F48">
      <w:pPr>
        <w:pStyle w:val="ListParagraph"/>
        <w:numPr>
          <w:ilvl w:val="0"/>
          <w:numId w:val="2"/>
        </w:numPr>
        <w:spacing w:before="40" w:after="40"/>
      </w:pPr>
      <w:r>
        <w:rPr>
          <w:color w:val="333333"/>
        </w:rPr>
        <w:t>Surface program-level demand trends to inform curriculum planning and marketing spend.</w:t>
      </w:r>
    </w:p>
    <w:p w14:paraId="309854A6" w14:textId="77777777" w:rsidR="00DE4422" w:rsidRDefault="00863F48">
      <w:pPr>
        <w:pStyle w:val="ListParagraph"/>
        <w:numPr>
          <w:ilvl w:val="0"/>
          <w:numId w:val="2"/>
        </w:numPr>
        <w:spacing w:before="40" w:after="40"/>
      </w:pPr>
      <w:r>
        <w:rPr>
          <w:color w:val="333333"/>
        </w:rPr>
        <w:t>Benchmark outreach team performance by linking callers to application volume via Reference IDs.</w:t>
      </w:r>
    </w:p>
    <w:p w14:paraId="5EF43A65" w14:textId="77777777" w:rsidR="00DE4422" w:rsidRDefault="00DE4422">
      <w:pPr>
        <w:spacing w:before="80" w:after="80"/>
      </w:pPr>
    </w:p>
    <w:p w14:paraId="5A712994" w14:textId="77777777" w:rsidR="00DE4422" w:rsidRDefault="00863F48">
      <w:pPr>
        <w:pStyle w:val="Heading2"/>
      </w:pPr>
      <w:r>
        <w:t>Target Audience</w:t>
      </w:r>
    </w:p>
    <w:p w14:paraId="4254FA64" w14:textId="77777777" w:rsidR="00DE4422" w:rsidRDefault="00863F48">
      <w:pPr>
        <w:spacing w:before="60" w:after="100"/>
      </w:pPr>
      <w:r>
        <w:rPr>
          <w:color w:val="333333"/>
        </w:rPr>
        <w:t xml:space="preserve">The primary users are admissions directors, </w:t>
      </w:r>
      <w:proofErr w:type="spellStart"/>
      <w:r>
        <w:rPr>
          <w:color w:val="333333"/>
        </w:rPr>
        <w:t>enrollment</w:t>
      </w:r>
      <w:proofErr w:type="spellEnd"/>
      <w:r>
        <w:rPr>
          <w:color w:val="333333"/>
        </w:rPr>
        <w:t xml:space="preserve"> managers, and senior institutional leadership. Secondary users include outreach coordinators who monitor their own referral performance through the Outreach Metrics table.</w:t>
      </w:r>
    </w:p>
    <w:p w14:paraId="5116B02F" w14:textId="77777777" w:rsidR="00DE4422" w:rsidRDefault="00DE4422">
      <w:pPr>
        <w:spacing w:before="80" w:after="80"/>
      </w:pPr>
    </w:p>
    <w:p w14:paraId="6E71DD74" w14:textId="77777777" w:rsidR="00DE4422" w:rsidRDefault="00DE4422">
      <w:pPr>
        <w:pBdr>
          <w:bottom w:val="single" w:sz="4" w:space="1" w:color="F5A800"/>
        </w:pBdr>
        <w:spacing w:before="120" w:after="120"/>
      </w:pPr>
    </w:p>
    <w:p w14:paraId="214997F0" w14:textId="77777777" w:rsidR="00DE4422" w:rsidRDefault="00863F48">
      <w:pPr>
        <w:pStyle w:val="Heading1"/>
      </w:pPr>
      <w:r>
        <w:t>2. Key Visuals and Why They Were Chosen</w:t>
      </w:r>
    </w:p>
    <w:p w14:paraId="1F56A223" w14:textId="77777777" w:rsidR="00DE4422" w:rsidRDefault="00DE4422">
      <w:pPr>
        <w:spacing w:before="80" w:after="80"/>
      </w:pPr>
    </w:p>
    <w:p w14:paraId="5996EB49" w14:textId="77777777" w:rsidR="00DE4422" w:rsidRDefault="00863F48">
      <w:pPr>
        <w:spacing w:before="60" w:after="100"/>
      </w:pPr>
      <w:r>
        <w:rPr>
          <w:color w:val="333333"/>
        </w:rPr>
        <w:t>The dashboard uses five distinct visual types, each selected to answer a specific analytical question as efficiently as possible.</w:t>
      </w:r>
    </w:p>
    <w:p w14:paraId="0DCD2FCE" w14:textId="77777777" w:rsidR="00DE4422" w:rsidRDefault="00DE4422">
      <w:pPr>
        <w:spacing w:before="80" w:after="80"/>
      </w:pPr>
    </w:p>
    <w:p w14:paraId="13AFB4FA" w14:textId="77777777" w:rsidR="00DE4422" w:rsidRDefault="00863F48">
      <w:pPr>
        <w:pStyle w:val="Heading2"/>
      </w:pPr>
      <w:r>
        <w:t>KPI Scorecards — Top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E4422" w14:paraId="37696459" w14:textId="77777777">
        <w:tc>
          <w:tcPr>
            <w:tcW w:w="1560" w:type="dxa"/>
            <w:tcBorders>
              <w:top w:val="single" w:sz="1" w:space="0" w:color="DDDDDD"/>
              <w:left w:val="single" w:sz="1" w:space="0" w:color="DDDDDD"/>
              <w:bottom w:val="single" w:sz="1" w:space="0" w:color="DDDDDD"/>
              <w:right w:val="single" w:sz="1" w:space="0" w:color="DDDDDD"/>
            </w:tcBorders>
            <w:shd w:val="clear" w:color="auto" w:fill="0D0D0D"/>
            <w:tcMar>
              <w:top w:w="100" w:type="dxa"/>
              <w:left w:w="120" w:type="dxa"/>
              <w:bottom w:w="100" w:type="dxa"/>
              <w:right w:w="120" w:type="dxa"/>
            </w:tcMar>
          </w:tcPr>
          <w:p w14:paraId="56BE84B4" w14:textId="77777777" w:rsidR="00DE4422" w:rsidRDefault="00863F48">
            <w:pPr>
              <w:jc w:val="center"/>
            </w:pPr>
            <w:r>
              <w:rPr>
                <w:color w:val="FFFFFF"/>
                <w:sz w:val="16"/>
                <w:szCs w:val="16"/>
              </w:rPr>
              <w:t>Total Applicants</w:t>
            </w:r>
          </w:p>
          <w:p w14:paraId="65F5DBD5" w14:textId="77777777" w:rsidR="00DE4422" w:rsidRDefault="00863F48">
            <w:pPr>
              <w:jc w:val="center"/>
            </w:pPr>
            <w:r>
              <w:rPr>
                <w:b/>
                <w:bCs/>
                <w:color w:val="F5A800"/>
                <w:sz w:val="32"/>
                <w:szCs w:val="32"/>
              </w:rPr>
              <w:t>5,000</w:t>
            </w:r>
          </w:p>
        </w:tc>
        <w:tc>
          <w:tcPr>
            <w:tcW w:w="1560" w:type="dxa"/>
            <w:tcBorders>
              <w:top w:val="single" w:sz="1" w:space="0" w:color="DDDDDD"/>
              <w:left w:val="single" w:sz="1" w:space="0" w:color="DDDDDD"/>
              <w:bottom w:val="single" w:sz="1" w:space="0" w:color="DDDDDD"/>
              <w:right w:val="single" w:sz="1" w:space="0" w:color="DDDDDD"/>
            </w:tcBorders>
            <w:shd w:val="clear" w:color="auto" w:fill="0D0D0D"/>
            <w:tcMar>
              <w:top w:w="100" w:type="dxa"/>
              <w:left w:w="120" w:type="dxa"/>
              <w:bottom w:w="100" w:type="dxa"/>
              <w:right w:w="120" w:type="dxa"/>
            </w:tcMar>
          </w:tcPr>
          <w:p w14:paraId="23FF708B" w14:textId="77777777" w:rsidR="00DE4422" w:rsidRDefault="00863F48">
            <w:pPr>
              <w:jc w:val="center"/>
            </w:pPr>
            <w:r>
              <w:rPr>
                <w:color w:val="FFFFFF"/>
                <w:sz w:val="16"/>
                <w:szCs w:val="16"/>
              </w:rPr>
              <w:t>Total Admitted</w:t>
            </w:r>
          </w:p>
          <w:p w14:paraId="198D4922" w14:textId="77777777" w:rsidR="00DE4422" w:rsidRDefault="00863F48">
            <w:pPr>
              <w:jc w:val="center"/>
            </w:pPr>
            <w:r>
              <w:rPr>
                <w:b/>
                <w:bCs/>
                <w:color w:val="F5A800"/>
                <w:sz w:val="32"/>
                <w:szCs w:val="32"/>
              </w:rPr>
              <w:t>3,256</w:t>
            </w:r>
          </w:p>
        </w:tc>
        <w:tc>
          <w:tcPr>
            <w:tcW w:w="1560" w:type="dxa"/>
            <w:tcBorders>
              <w:top w:val="single" w:sz="1" w:space="0" w:color="DDDDDD"/>
              <w:left w:val="single" w:sz="1" w:space="0" w:color="DDDDDD"/>
              <w:bottom w:val="single" w:sz="1" w:space="0" w:color="DDDDDD"/>
              <w:right w:val="single" w:sz="1" w:space="0" w:color="DDDDDD"/>
            </w:tcBorders>
            <w:shd w:val="clear" w:color="auto" w:fill="0D0D0D"/>
            <w:tcMar>
              <w:top w:w="100" w:type="dxa"/>
              <w:left w:w="120" w:type="dxa"/>
              <w:bottom w:w="100" w:type="dxa"/>
              <w:right w:w="120" w:type="dxa"/>
            </w:tcMar>
          </w:tcPr>
          <w:p w14:paraId="5C3B5F83" w14:textId="77777777" w:rsidR="00DE4422" w:rsidRDefault="00863F48">
            <w:pPr>
              <w:jc w:val="center"/>
            </w:pPr>
            <w:r>
              <w:rPr>
                <w:color w:val="FFFFFF"/>
                <w:sz w:val="16"/>
                <w:szCs w:val="16"/>
              </w:rPr>
              <w:t>Total Pending</w:t>
            </w:r>
          </w:p>
          <w:p w14:paraId="6CCC0D56" w14:textId="77777777" w:rsidR="00DE4422" w:rsidRDefault="00863F48">
            <w:pPr>
              <w:jc w:val="center"/>
            </w:pPr>
            <w:r>
              <w:rPr>
                <w:b/>
                <w:bCs/>
                <w:color w:val="F5A800"/>
                <w:sz w:val="32"/>
                <w:szCs w:val="32"/>
              </w:rPr>
              <w:t>1,744</w:t>
            </w:r>
          </w:p>
        </w:tc>
        <w:tc>
          <w:tcPr>
            <w:tcW w:w="1560" w:type="dxa"/>
            <w:tcBorders>
              <w:top w:val="single" w:sz="1" w:space="0" w:color="DDDDDD"/>
              <w:left w:val="single" w:sz="1" w:space="0" w:color="DDDDDD"/>
              <w:bottom w:val="single" w:sz="1" w:space="0" w:color="DDDDDD"/>
              <w:right w:val="single" w:sz="1" w:space="0" w:color="DDDDDD"/>
            </w:tcBorders>
            <w:shd w:val="clear" w:color="auto" w:fill="0D0D0D"/>
            <w:tcMar>
              <w:top w:w="100" w:type="dxa"/>
              <w:left w:w="120" w:type="dxa"/>
              <w:bottom w:w="100" w:type="dxa"/>
              <w:right w:w="120" w:type="dxa"/>
            </w:tcMar>
          </w:tcPr>
          <w:p w14:paraId="6B2899E5" w14:textId="77777777" w:rsidR="00DE4422" w:rsidRDefault="00863F48">
            <w:pPr>
              <w:jc w:val="center"/>
            </w:pPr>
            <w:r>
              <w:rPr>
                <w:color w:val="FFFFFF"/>
                <w:sz w:val="16"/>
                <w:szCs w:val="16"/>
              </w:rPr>
              <w:t>Acceptance Rate</w:t>
            </w:r>
          </w:p>
          <w:p w14:paraId="0FA4D790" w14:textId="77777777" w:rsidR="00DE4422" w:rsidRDefault="00863F48">
            <w:pPr>
              <w:jc w:val="center"/>
            </w:pPr>
            <w:r>
              <w:rPr>
                <w:b/>
                <w:bCs/>
                <w:color w:val="F5A800"/>
                <w:sz w:val="32"/>
                <w:szCs w:val="32"/>
              </w:rPr>
              <w:t>65.12%</w:t>
            </w:r>
          </w:p>
        </w:tc>
        <w:tc>
          <w:tcPr>
            <w:tcW w:w="1560" w:type="dxa"/>
            <w:tcBorders>
              <w:top w:val="single" w:sz="1" w:space="0" w:color="DDDDDD"/>
              <w:left w:val="single" w:sz="1" w:space="0" w:color="DDDDDD"/>
              <w:bottom w:val="single" w:sz="1" w:space="0" w:color="DDDDDD"/>
              <w:right w:val="single" w:sz="1" w:space="0" w:color="DDDDDD"/>
            </w:tcBorders>
            <w:shd w:val="clear" w:color="auto" w:fill="0D0D0D"/>
            <w:tcMar>
              <w:top w:w="100" w:type="dxa"/>
              <w:left w:w="120" w:type="dxa"/>
              <w:bottom w:w="100" w:type="dxa"/>
              <w:right w:w="120" w:type="dxa"/>
            </w:tcMar>
          </w:tcPr>
          <w:p w14:paraId="41EE5C0B" w14:textId="77777777" w:rsidR="00DE4422" w:rsidRDefault="00863F48">
            <w:pPr>
              <w:jc w:val="center"/>
            </w:pPr>
            <w:r>
              <w:rPr>
                <w:color w:val="FFFFFF"/>
                <w:sz w:val="16"/>
                <w:szCs w:val="16"/>
              </w:rPr>
              <w:t># of Countries</w:t>
            </w:r>
          </w:p>
          <w:p w14:paraId="704DFCB1" w14:textId="77777777" w:rsidR="00DE4422" w:rsidRDefault="00863F48">
            <w:pPr>
              <w:jc w:val="center"/>
            </w:pPr>
            <w:r>
              <w:rPr>
                <w:b/>
                <w:bCs/>
                <w:color w:val="F5A800"/>
                <w:sz w:val="32"/>
                <w:szCs w:val="32"/>
              </w:rPr>
              <w:t>96</w:t>
            </w:r>
          </w:p>
        </w:tc>
        <w:tc>
          <w:tcPr>
            <w:tcW w:w="1560" w:type="dxa"/>
            <w:tcBorders>
              <w:top w:val="single" w:sz="1" w:space="0" w:color="DDDDDD"/>
              <w:left w:val="single" w:sz="1" w:space="0" w:color="DDDDDD"/>
              <w:bottom w:val="single" w:sz="1" w:space="0" w:color="DDDDDD"/>
              <w:right w:val="single" w:sz="1" w:space="0" w:color="DDDDDD"/>
            </w:tcBorders>
            <w:shd w:val="clear" w:color="auto" w:fill="0D0D0D"/>
            <w:tcMar>
              <w:top w:w="100" w:type="dxa"/>
              <w:left w:w="120" w:type="dxa"/>
              <w:bottom w:w="100" w:type="dxa"/>
              <w:right w:w="120" w:type="dxa"/>
            </w:tcMar>
          </w:tcPr>
          <w:p w14:paraId="7AE40550" w14:textId="77777777" w:rsidR="00DE4422" w:rsidRDefault="00863F48">
            <w:pPr>
              <w:jc w:val="center"/>
            </w:pPr>
            <w:r>
              <w:rPr>
                <w:color w:val="FFFFFF"/>
                <w:sz w:val="16"/>
                <w:szCs w:val="16"/>
              </w:rPr>
              <w:t xml:space="preserve"># of </w:t>
            </w:r>
            <w:proofErr w:type="gramStart"/>
            <w:r>
              <w:rPr>
                <w:color w:val="FFFFFF"/>
                <w:sz w:val="16"/>
                <w:szCs w:val="16"/>
              </w:rPr>
              <w:t>Regions</w:t>
            </w:r>
            <w:proofErr w:type="gramEnd"/>
          </w:p>
          <w:p w14:paraId="18ACC760" w14:textId="77777777" w:rsidR="00DE4422" w:rsidRDefault="00863F48">
            <w:pPr>
              <w:jc w:val="center"/>
            </w:pPr>
            <w:r>
              <w:rPr>
                <w:b/>
                <w:bCs/>
                <w:color w:val="F5A800"/>
                <w:sz w:val="32"/>
                <w:szCs w:val="32"/>
              </w:rPr>
              <w:t>351</w:t>
            </w:r>
          </w:p>
        </w:tc>
      </w:tr>
    </w:tbl>
    <w:p w14:paraId="613B8631" w14:textId="77777777" w:rsidR="00DE4422" w:rsidRDefault="00DE4422">
      <w:pPr>
        <w:spacing w:before="80" w:after="80"/>
      </w:pPr>
    </w:p>
    <w:p w14:paraId="4397FA2A" w14:textId="77777777" w:rsidR="00DE4422" w:rsidRDefault="00863F48">
      <w:pPr>
        <w:spacing w:before="60" w:after="100"/>
      </w:pPr>
      <w:r>
        <w:rPr>
          <w:color w:val="333333"/>
        </w:rPr>
        <w:t xml:space="preserve">Six scorecards sit at the top of the dashboard displaying Total Applicants (5,000), Total Admitted (3,256), Total Pending (1,744), Acceptance Rate % (65.12%), # of Countries (96), and # of </w:t>
      </w:r>
      <w:proofErr w:type="gramStart"/>
      <w:r>
        <w:rPr>
          <w:color w:val="333333"/>
        </w:rPr>
        <w:t>Regions</w:t>
      </w:r>
      <w:proofErr w:type="gramEnd"/>
      <w:r>
        <w:rPr>
          <w:color w:val="333333"/>
        </w:rPr>
        <w:t xml:space="preserve"> (351). Scorecards were chosen because they deliver the most critical headline numbers instantly, without requiring the reader to interpret a chart axis. The gold-on-black styling ensures maximum visual contrast and draws the eye immediately upon loading the report.</w:t>
      </w:r>
    </w:p>
    <w:p w14:paraId="3864FA78" w14:textId="77777777" w:rsidR="00DE4422" w:rsidRDefault="00DE4422">
      <w:pPr>
        <w:spacing w:before="80" w:after="80"/>
      </w:pPr>
    </w:p>
    <w:p w14:paraId="14E9A5F0" w14:textId="77777777" w:rsidR="00DE4422" w:rsidRDefault="00863F48">
      <w:pPr>
        <w:pStyle w:val="Heading2"/>
      </w:pPr>
      <w:r>
        <w:t>Visual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DE4422" w14:paraId="3E42D5F0" w14:textId="77777777">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628FA195" w14:textId="77777777" w:rsidR="00DE4422" w:rsidRDefault="00863F48">
            <w:r>
              <w:rPr>
                <w:b/>
                <w:bCs/>
                <w:color w:val="F5A800"/>
                <w:sz w:val="20"/>
                <w:szCs w:val="20"/>
              </w:rPr>
              <w:t>Visual</w:t>
            </w:r>
          </w:p>
        </w:tc>
        <w:tc>
          <w:tcPr>
            <w:tcW w:w="1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3B36B037" w14:textId="77777777" w:rsidR="00DE4422" w:rsidRDefault="00863F48">
            <w:r>
              <w:rPr>
                <w:b/>
                <w:bCs/>
                <w:color w:val="F5A800"/>
                <w:sz w:val="20"/>
                <w:szCs w:val="20"/>
              </w:rPr>
              <w:t>Type</w:t>
            </w:r>
          </w:p>
        </w:tc>
        <w:tc>
          <w:tcPr>
            <w:tcW w:w="53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3C12F4B7" w14:textId="77777777" w:rsidR="00DE4422" w:rsidRDefault="00863F48">
            <w:r>
              <w:rPr>
                <w:b/>
                <w:bCs/>
                <w:color w:val="F5A800"/>
                <w:sz w:val="20"/>
                <w:szCs w:val="20"/>
              </w:rPr>
              <w:t>Purpose &amp; Design Rationale</w:t>
            </w:r>
          </w:p>
        </w:tc>
      </w:tr>
      <w:tr w:rsidR="00DE4422" w14:paraId="7997C546"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1640A4" w14:textId="77777777" w:rsidR="00DE4422" w:rsidRDefault="00863F48">
            <w:r>
              <w:rPr>
                <w:b/>
                <w:bCs/>
                <w:color w:val="111111"/>
                <w:sz w:val="20"/>
                <w:szCs w:val="20"/>
              </w:rPr>
              <w:t>Country-Level Applications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1BA8EFF" w14:textId="77777777" w:rsidR="00DE4422" w:rsidRDefault="00863F48">
            <w:r>
              <w:rPr>
                <w:i/>
                <w:iCs/>
                <w:color w:val="444444"/>
                <w:sz w:val="20"/>
                <w:szCs w:val="20"/>
              </w:rPr>
              <w:t>Horizontal Bar Chart</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0CA80C" w14:textId="14920971" w:rsidR="00DE4422" w:rsidRDefault="00863F48">
            <w:r>
              <w:rPr>
                <w:color w:val="333333"/>
                <w:sz w:val="20"/>
                <w:szCs w:val="20"/>
              </w:rPr>
              <w:t xml:space="preserve">Ranks the top applicant-sending countries (India: 2,684; USA: 489; Ghana: 412) from highest to lowest. A horizontal orientation is ideal here because country names are long text labels that would overlap on a vertical axis. The sorted order makes ranking immediately clear without </w:t>
            </w:r>
            <w:proofErr w:type="gramStart"/>
            <w:r>
              <w:rPr>
                <w:color w:val="333333"/>
                <w:sz w:val="20"/>
                <w:szCs w:val="20"/>
              </w:rPr>
              <w:t>scanning.</w:t>
            </w:r>
            <w:r w:rsidR="00814787">
              <w:rPr>
                <w:color w:val="333333"/>
                <w:sz w:val="20"/>
                <w:szCs w:val="20"/>
              </w:rPr>
              <w:t>(</w:t>
            </w:r>
            <w:proofErr w:type="gramEnd"/>
            <w:r w:rsidR="00814787">
              <w:rPr>
                <w:color w:val="333333"/>
                <w:sz w:val="20"/>
                <w:szCs w:val="20"/>
              </w:rPr>
              <w:t>Only used top 7 Country)</w:t>
            </w:r>
          </w:p>
        </w:tc>
      </w:tr>
      <w:tr w:rsidR="00DE4422" w14:paraId="6A2FFCE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78045E" w14:textId="77777777" w:rsidR="00DE4422" w:rsidRDefault="00863F48">
            <w:r>
              <w:rPr>
                <w:b/>
                <w:bCs/>
                <w:color w:val="111111"/>
                <w:sz w:val="20"/>
                <w:szCs w:val="20"/>
              </w:rPr>
              <w:t>Program Performance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4C6063" w14:textId="77777777" w:rsidR="00DE4422" w:rsidRDefault="00863F48">
            <w:r>
              <w:rPr>
                <w:i/>
                <w:iCs/>
                <w:color w:val="444444"/>
                <w:sz w:val="20"/>
                <w:szCs w:val="20"/>
              </w:rPr>
              <w:t>Vertical Bar Chart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1AB8CB" w14:textId="6BA93D00" w:rsidR="00DE4422" w:rsidRDefault="00863F48">
            <w:r>
              <w:rPr>
                <w:color w:val="333333"/>
                <w:sz w:val="20"/>
                <w:szCs w:val="20"/>
              </w:rPr>
              <w:t xml:space="preserve">Compares applicant volume across academic programs (Business Analytics: 707; Computer Science: 607; Data Science: 337, etc.). A vertical bar chart suits this comparison because the programs are discrete categories of roughly similar name length. Side-by-side bars make volume differences easy to compare at a </w:t>
            </w:r>
            <w:proofErr w:type="gramStart"/>
            <w:r>
              <w:rPr>
                <w:color w:val="333333"/>
                <w:sz w:val="20"/>
                <w:szCs w:val="20"/>
              </w:rPr>
              <w:t>glance.</w:t>
            </w:r>
            <w:r w:rsidR="00814787">
              <w:rPr>
                <w:color w:val="333333"/>
                <w:sz w:val="20"/>
                <w:szCs w:val="20"/>
              </w:rPr>
              <w:t>(</w:t>
            </w:r>
            <w:proofErr w:type="gramEnd"/>
            <w:r w:rsidR="00814787">
              <w:rPr>
                <w:color w:val="333333"/>
                <w:sz w:val="20"/>
                <w:szCs w:val="20"/>
              </w:rPr>
              <w:t>Only used top 7 Program Name)</w:t>
            </w:r>
          </w:p>
        </w:tc>
      </w:tr>
      <w:tr w:rsidR="00DE4422" w14:paraId="71550346"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068D8D" w14:textId="77777777" w:rsidR="00DE4422" w:rsidRDefault="00863F48">
            <w:r>
              <w:rPr>
                <w:b/>
                <w:bCs/>
                <w:color w:val="111111"/>
                <w:sz w:val="20"/>
                <w:szCs w:val="20"/>
              </w:rPr>
              <w:t>Admission Outcomes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712D51" w14:textId="77777777" w:rsidR="00DE4422" w:rsidRDefault="00863F48">
            <w:r>
              <w:rPr>
                <w:i/>
                <w:iCs/>
                <w:color w:val="444444"/>
                <w:sz w:val="20"/>
                <w:szCs w:val="20"/>
              </w:rPr>
              <w:t>Donut / Pie Chart</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CE46720" w14:textId="77777777" w:rsidR="00DE4422" w:rsidRDefault="00863F48">
            <w:r>
              <w:rPr>
                <w:color w:val="333333"/>
                <w:sz w:val="20"/>
                <w:szCs w:val="20"/>
              </w:rPr>
              <w:t>Visualizes the split between Admitted (64.7%) and Pending (35.3%) applications. A donut chart is appropriate for this binary part-to-whole relationship — it communicates proportions more intuitively than a bar chart for two categories and leaves room for percentage labels.</w:t>
            </w:r>
          </w:p>
        </w:tc>
      </w:tr>
      <w:tr w:rsidR="00DE4422" w14:paraId="20BF63B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6B8DA9" w14:textId="77777777" w:rsidR="00DE4422" w:rsidRDefault="00863F48">
            <w:r>
              <w:rPr>
                <w:b/>
                <w:bCs/>
                <w:color w:val="111111"/>
                <w:sz w:val="20"/>
                <w:szCs w:val="20"/>
              </w:rPr>
              <w:t>Outreach Metrics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2688B3" w14:textId="77777777" w:rsidR="00DE4422" w:rsidRDefault="00863F48">
            <w:r>
              <w:rPr>
                <w:i/>
                <w:iCs/>
                <w:color w:val="444444"/>
                <w:sz w:val="20"/>
                <w:szCs w:val="20"/>
              </w:rPr>
              <w:t>Ranked Table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5721FA" w14:textId="77777777" w:rsidR="00DE4422" w:rsidRDefault="00863F48">
            <w:r>
              <w:rPr>
                <w:color w:val="333333"/>
                <w:sz w:val="20"/>
                <w:szCs w:val="20"/>
              </w:rPr>
              <w:t xml:space="preserve">Lists the top 5 outreach callers by Reference ID count (Jagdeep: 1,260; Swarna: 306; Ayesha: 144; </w:t>
            </w:r>
            <w:proofErr w:type="spellStart"/>
            <w:r>
              <w:rPr>
                <w:color w:val="333333"/>
                <w:sz w:val="20"/>
                <w:szCs w:val="20"/>
              </w:rPr>
              <w:t>Lavnaya</w:t>
            </w:r>
            <w:proofErr w:type="spellEnd"/>
            <w:r>
              <w:rPr>
                <w:color w:val="333333"/>
                <w:sz w:val="20"/>
                <w:szCs w:val="20"/>
              </w:rPr>
              <w:t>: 96). A table is the right choice here because the data involves named individuals with precise counts — a chart would lose the specificity needed for individual accountability tracking.</w:t>
            </w:r>
          </w:p>
        </w:tc>
      </w:tr>
      <w:tr w:rsidR="00DE4422" w14:paraId="53190B28"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960380B" w14:textId="77777777" w:rsidR="00DE4422" w:rsidRDefault="00863F48">
            <w:r>
              <w:rPr>
                <w:b/>
                <w:bCs/>
                <w:color w:val="111111"/>
                <w:sz w:val="20"/>
                <w:szCs w:val="20"/>
              </w:rPr>
              <w:t>Interactive Filters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52E76C" w14:textId="77777777" w:rsidR="00DE4422" w:rsidRDefault="00863F48">
            <w:r>
              <w:rPr>
                <w:i/>
                <w:iCs/>
                <w:color w:val="444444"/>
                <w:sz w:val="20"/>
                <w:szCs w:val="20"/>
              </w:rPr>
              <w:t>Dropdown Controls (3)</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684E384" w14:textId="77777777" w:rsidR="00DE4422" w:rsidRDefault="00863F48">
            <w:r>
              <w:rPr>
                <w:color w:val="333333"/>
                <w:sz w:val="20"/>
                <w:szCs w:val="20"/>
              </w:rPr>
              <w:t>Three filter controls (Country, Intake Year, Admission Status) are placed in the top-right of the header. Dropdown filters are chosen over sliders or date pickers because the underlying dimensions are discrete categorical values. Placing them in the header ensures they are visible at all times regardless of scroll position.</w:t>
            </w:r>
          </w:p>
        </w:tc>
      </w:tr>
    </w:tbl>
    <w:p w14:paraId="02CDCCF6" w14:textId="77777777" w:rsidR="00DE4422" w:rsidRDefault="00DE4422">
      <w:pPr>
        <w:spacing w:before="80" w:after="80"/>
      </w:pPr>
    </w:p>
    <w:p w14:paraId="2C3C9B29" w14:textId="77777777" w:rsidR="00DE4422" w:rsidRDefault="00DE4422">
      <w:pPr>
        <w:pBdr>
          <w:bottom w:val="single" w:sz="4" w:space="1" w:color="F5A800"/>
        </w:pBdr>
        <w:spacing w:before="120" w:after="120"/>
      </w:pPr>
    </w:p>
    <w:p w14:paraId="2C194AAA" w14:textId="77777777" w:rsidR="00DE4422" w:rsidRDefault="00863F48">
      <w:pPr>
        <w:pStyle w:val="Heading1"/>
      </w:pPr>
      <w:r>
        <w:t>3. Page Layout and Design Logic</w:t>
      </w:r>
    </w:p>
    <w:p w14:paraId="61523346" w14:textId="77777777" w:rsidR="00DE4422" w:rsidRDefault="00DE4422">
      <w:pPr>
        <w:spacing w:before="80" w:after="80"/>
      </w:pPr>
    </w:p>
    <w:p w14:paraId="2985E444" w14:textId="77777777" w:rsidR="00DE4422" w:rsidRDefault="00863F48">
      <w:pPr>
        <w:pStyle w:val="Heading2"/>
      </w:pPr>
      <w:r>
        <w:t>Layout Structure</w:t>
      </w:r>
    </w:p>
    <w:p w14:paraId="1092C465" w14:textId="77777777" w:rsidR="00DE4422" w:rsidRDefault="00863F48">
      <w:pPr>
        <w:spacing w:before="60" w:after="100"/>
      </w:pPr>
      <w:r>
        <w:rPr>
          <w:color w:val="333333"/>
        </w:rPr>
        <w:t>The dashboard follows a strict top-to-bottom, left-to-right reading hierarchy across four horizontal zones:</w:t>
      </w:r>
    </w:p>
    <w:p w14:paraId="6985194D" w14:textId="77777777" w:rsidR="00DE4422" w:rsidRDefault="00DE442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DE4422" w14:paraId="6AD2D957" w14:textId="77777777">
        <w:tc>
          <w:tcPr>
            <w:tcW w:w="14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32288B2C" w14:textId="77777777" w:rsidR="00DE4422" w:rsidRDefault="00863F48">
            <w:r>
              <w:rPr>
                <w:b/>
                <w:bCs/>
                <w:color w:val="F5A800"/>
                <w:sz w:val="20"/>
                <w:szCs w:val="20"/>
              </w:rPr>
              <w:t>Zone</w:t>
            </w:r>
          </w:p>
        </w:tc>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586FD58C" w14:textId="77777777" w:rsidR="00DE4422" w:rsidRDefault="00863F48">
            <w:r>
              <w:rPr>
                <w:b/>
                <w:bCs/>
                <w:color w:val="F5A800"/>
                <w:sz w:val="20"/>
                <w:szCs w:val="20"/>
              </w:rPr>
              <w:t>Content</w:t>
            </w:r>
          </w:p>
        </w:tc>
        <w:tc>
          <w:tcPr>
            <w:tcW w:w="57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55604F66" w14:textId="77777777" w:rsidR="00DE4422" w:rsidRDefault="00863F48">
            <w:r>
              <w:rPr>
                <w:b/>
                <w:bCs/>
                <w:color w:val="F5A800"/>
                <w:sz w:val="20"/>
                <w:szCs w:val="20"/>
              </w:rPr>
              <w:t>Design Intent</w:t>
            </w:r>
          </w:p>
        </w:tc>
      </w:tr>
      <w:tr w:rsidR="00DE4422" w14:paraId="028AC4A2" w14:textId="77777777">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5E8BDEA" w14:textId="77777777" w:rsidR="00DE4422" w:rsidRDefault="00863F48">
            <w:r>
              <w:rPr>
                <w:b/>
                <w:bCs/>
                <w:sz w:val="19"/>
                <w:szCs w:val="19"/>
              </w:rPr>
              <w:t>Zone 1 — Header</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CCA95A5" w14:textId="77777777" w:rsidR="00DE4422" w:rsidRDefault="00863F48">
            <w:r>
              <w:rPr>
                <w:i/>
                <w:iCs/>
                <w:color w:val="555555"/>
                <w:sz w:val="19"/>
                <w:szCs w:val="19"/>
              </w:rPr>
              <w:t>Title + 3 filter dropdowns</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DBBA66" w14:textId="77777777" w:rsidR="00DE4422" w:rsidRDefault="00863F48">
            <w:r>
              <w:rPr>
                <w:color w:val="333333"/>
                <w:sz w:val="19"/>
                <w:szCs w:val="19"/>
              </w:rPr>
              <w:t>Establishes the report identity and houses all interactive controls. Gold text on black creates a strong anchor. Filters are right-aligned to separate them from the title while keeping them within the header zone.</w:t>
            </w:r>
          </w:p>
        </w:tc>
      </w:tr>
      <w:tr w:rsidR="00DE4422" w14:paraId="7CDD4470"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A62BB5" w14:textId="77777777" w:rsidR="00DE4422" w:rsidRDefault="00863F48">
            <w:r>
              <w:rPr>
                <w:b/>
                <w:bCs/>
                <w:sz w:val="19"/>
                <w:szCs w:val="19"/>
              </w:rPr>
              <w:t>Zone 2 — KPIs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E782B8" w14:textId="77777777" w:rsidR="00DE4422" w:rsidRDefault="00863F48">
            <w:r>
              <w:rPr>
                <w:i/>
                <w:iCs/>
                <w:color w:val="555555"/>
                <w:sz w:val="19"/>
                <w:szCs w:val="19"/>
              </w:rPr>
              <w:t>6 scorecard tiles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8E8DA8" w14:textId="77777777" w:rsidR="00DE4422" w:rsidRDefault="00863F48">
            <w:r>
              <w:rPr>
                <w:color w:val="333333"/>
                <w:sz w:val="19"/>
                <w:szCs w:val="19"/>
              </w:rPr>
              <w:t>Full-width row of key metrics provides an immediate executive summary before any chart is read. Consistent tile sizing communicates equal importance across all six metrics.</w:t>
            </w:r>
          </w:p>
        </w:tc>
      </w:tr>
      <w:tr w:rsidR="00DE4422" w14:paraId="6BA1E828" w14:textId="77777777">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9777CB" w14:textId="77777777" w:rsidR="00DE4422" w:rsidRDefault="00863F48">
            <w:r>
              <w:rPr>
                <w:b/>
                <w:bCs/>
                <w:sz w:val="19"/>
                <w:szCs w:val="19"/>
              </w:rPr>
              <w:t>Zone 3 — Charts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DB9160" w14:textId="77777777" w:rsidR="00DE4422" w:rsidRDefault="00863F48">
            <w:r>
              <w:rPr>
                <w:i/>
                <w:iCs/>
                <w:color w:val="555555"/>
                <w:sz w:val="19"/>
                <w:szCs w:val="19"/>
              </w:rPr>
              <w:t>2 bar charts side by side</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264AF33" w14:textId="77777777" w:rsidR="00DE4422" w:rsidRDefault="00863F48">
            <w:r>
              <w:rPr>
                <w:color w:val="333333"/>
                <w:sz w:val="19"/>
                <w:szCs w:val="19"/>
              </w:rPr>
              <w:t>The two largest visuals occupy equal half-width columns. Geographic data (countries) sits left; programmatic data sits right, creating a natural 'where vs. what' segmentation for the reader.</w:t>
            </w:r>
          </w:p>
        </w:tc>
      </w:tr>
      <w:tr w:rsidR="00DE4422" w14:paraId="430D5305" w14:textId="77777777">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542773" w14:textId="77777777" w:rsidR="00DE4422" w:rsidRDefault="00863F48">
            <w:r>
              <w:rPr>
                <w:b/>
                <w:bCs/>
                <w:sz w:val="19"/>
                <w:szCs w:val="19"/>
              </w:rPr>
              <w:t>Zone 4 — Detail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7A3B12" w14:textId="77777777" w:rsidR="00DE4422" w:rsidRDefault="00863F48">
            <w:r>
              <w:rPr>
                <w:i/>
                <w:iCs/>
                <w:color w:val="555555"/>
                <w:sz w:val="19"/>
                <w:szCs w:val="19"/>
              </w:rPr>
              <w:t>Donut chart (left) + table (right)</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3908A4" w14:textId="77777777" w:rsidR="00DE4422" w:rsidRDefault="00863F48">
            <w:r>
              <w:rPr>
                <w:color w:val="333333"/>
                <w:sz w:val="19"/>
                <w:szCs w:val="19"/>
              </w:rPr>
              <w:t>Outcome-level analysis (admitted vs. pending) pairs with operational detail (outreach caller performance). The donut communicates proportion quickly; the table provides the actionable names and numbers that follow.</w:t>
            </w:r>
          </w:p>
        </w:tc>
      </w:tr>
    </w:tbl>
    <w:p w14:paraId="7136BFAE" w14:textId="77777777" w:rsidR="00DE4422" w:rsidRDefault="00DE4422">
      <w:pPr>
        <w:spacing w:before="80" w:after="80"/>
      </w:pPr>
    </w:p>
    <w:p w14:paraId="5C646062" w14:textId="77777777" w:rsidR="00DE4422" w:rsidRDefault="00863F48">
      <w:pPr>
        <w:pStyle w:val="Heading2"/>
      </w:pPr>
      <w:proofErr w:type="spellStart"/>
      <w:r>
        <w:t>Color</w:t>
      </w:r>
      <w:proofErr w:type="spellEnd"/>
      <w:r>
        <w:t xml:space="preserve"> Scheme &amp; Branding</w:t>
      </w:r>
    </w:p>
    <w:p w14:paraId="11D27848" w14:textId="77777777" w:rsidR="00DE4422" w:rsidRDefault="00863F48">
      <w:pPr>
        <w:spacing w:before="60" w:after="100"/>
      </w:pPr>
      <w:r>
        <w:rPr>
          <w:color w:val="333333"/>
        </w:rPr>
        <w:t xml:space="preserve">The dashboard uses a deliberate dark-theme palette built around three core </w:t>
      </w:r>
      <w:proofErr w:type="spellStart"/>
      <w:r>
        <w:rPr>
          <w:color w:val="333333"/>
        </w:rPr>
        <w:t>colors</w:t>
      </w:r>
      <w:proofErr w:type="spellEnd"/>
      <w:r>
        <w:rPr>
          <w:color w:val="333333"/>
        </w:rPr>
        <w:t>:</w:t>
      </w:r>
    </w:p>
    <w:p w14:paraId="525D0C1E" w14:textId="77777777" w:rsidR="00DE4422" w:rsidRDefault="00863F48">
      <w:pPr>
        <w:pStyle w:val="ListParagraph"/>
        <w:numPr>
          <w:ilvl w:val="0"/>
          <w:numId w:val="2"/>
        </w:numPr>
        <w:spacing w:before="40" w:after="40"/>
      </w:pPr>
      <w:r>
        <w:rPr>
          <w:color w:val="333333"/>
        </w:rPr>
        <w:t>Black (#000000) — page and header background, creates focus and reduces visual noise.</w:t>
      </w:r>
    </w:p>
    <w:p w14:paraId="56A6A9F2" w14:textId="77777777" w:rsidR="00DE4422" w:rsidRDefault="00863F48">
      <w:pPr>
        <w:pStyle w:val="ListParagraph"/>
        <w:numPr>
          <w:ilvl w:val="0"/>
          <w:numId w:val="2"/>
        </w:numPr>
        <w:spacing w:before="40" w:after="40"/>
      </w:pPr>
      <w:r>
        <w:rPr>
          <w:color w:val="333333"/>
        </w:rPr>
        <w:t>Gold / Amber (#F5A800) — primary accent for titles, chart bars, KPI values, and table headers. Provides high contrast against black and signals importance.</w:t>
      </w:r>
    </w:p>
    <w:p w14:paraId="52D29AF4" w14:textId="77777777" w:rsidR="00DE4422" w:rsidRDefault="00863F48">
      <w:pPr>
        <w:pStyle w:val="ListParagraph"/>
        <w:numPr>
          <w:ilvl w:val="0"/>
          <w:numId w:val="2"/>
        </w:numPr>
        <w:spacing w:before="40" w:after="40"/>
      </w:pPr>
      <w:r>
        <w:rPr>
          <w:color w:val="333333"/>
        </w:rPr>
        <w:t>White / Light cream — secondary text and KPI labels, ensuring legibility against dark backgrounds.</w:t>
      </w:r>
    </w:p>
    <w:p w14:paraId="748F6E03" w14:textId="77777777" w:rsidR="00DE4422" w:rsidRDefault="00DE4422">
      <w:pPr>
        <w:spacing w:before="80" w:after="80"/>
      </w:pPr>
    </w:p>
    <w:p w14:paraId="3D7C4E18" w14:textId="77777777" w:rsidR="00DE4422" w:rsidRDefault="00863F48">
      <w:pPr>
        <w:spacing w:before="60" w:after="100"/>
      </w:pPr>
      <w:r>
        <w:rPr>
          <w:color w:val="333333"/>
        </w:rPr>
        <w:t>This palette is consistent with premium, institutional branding. The high-contrast gold-on-black combination also ensures accessibility for users viewing on standard monitors in brightly lit environments.</w:t>
      </w:r>
    </w:p>
    <w:p w14:paraId="64CCC2DC" w14:textId="77777777" w:rsidR="00DE4422" w:rsidRDefault="00DE4422">
      <w:pPr>
        <w:spacing w:before="80" w:after="80"/>
      </w:pPr>
    </w:p>
    <w:p w14:paraId="1E5C7174" w14:textId="77777777" w:rsidR="00DE4422" w:rsidRDefault="00DE4422">
      <w:pPr>
        <w:pBdr>
          <w:bottom w:val="single" w:sz="4" w:space="1" w:color="F5A800"/>
        </w:pBdr>
        <w:spacing w:before="120" w:after="120"/>
      </w:pPr>
    </w:p>
    <w:p w14:paraId="5B792876" w14:textId="77777777" w:rsidR="00DE4422" w:rsidRDefault="00863F48">
      <w:pPr>
        <w:pStyle w:val="Heading1"/>
      </w:pPr>
      <w:r>
        <w:t>4. Data Flow</w:t>
      </w:r>
    </w:p>
    <w:p w14:paraId="52120EFB" w14:textId="77777777" w:rsidR="00DE4422" w:rsidRDefault="00DE4422">
      <w:pPr>
        <w:spacing w:before="80" w:after="80"/>
      </w:pPr>
    </w:p>
    <w:p w14:paraId="19D5A467" w14:textId="77777777" w:rsidR="00DE4422" w:rsidRDefault="00863F48">
      <w:pPr>
        <w:spacing w:before="60" w:after="100"/>
      </w:pPr>
      <w:r>
        <w:rPr>
          <w:color w:val="333333"/>
        </w:rPr>
        <w:t>The following table describes the end-to-end journey of data from its original source to the final visualizations presented in the dashboard.</w:t>
      </w:r>
    </w:p>
    <w:p w14:paraId="3410C881" w14:textId="77777777" w:rsidR="00DE4422" w:rsidRDefault="00DE442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1734"/>
        <w:gridCol w:w="5807"/>
      </w:tblGrid>
      <w:tr w:rsidR="00DE4422" w14:paraId="38558D5F" w14:textId="77777777">
        <w:tc>
          <w:tcPr>
            <w:tcW w:w="12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02E8C27A" w14:textId="77777777" w:rsidR="00DE4422" w:rsidRDefault="00863F48">
            <w:r>
              <w:rPr>
                <w:b/>
                <w:bCs/>
                <w:color w:val="F5A800"/>
                <w:sz w:val="20"/>
                <w:szCs w:val="20"/>
              </w:rPr>
              <w:t>Step</w:t>
            </w:r>
          </w:p>
        </w:tc>
        <w:tc>
          <w:tcPr>
            <w:tcW w:w="1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36796BFB" w14:textId="77777777" w:rsidR="00DE4422" w:rsidRDefault="00863F48">
            <w:r>
              <w:rPr>
                <w:b/>
                <w:bCs/>
                <w:color w:val="F5A800"/>
                <w:sz w:val="20"/>
                <w:szCs w:val="20"/>
              </w:rPr>
              <w:t>Layer</w:t>
            </w:r>
          </w:p>
        </w:tc>
        <w:tc>
          <w:tcPr>
            <w:tcW w:w="63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6B3055B9" w14:textId="77777777" w:rsidR="00DE4422" w:rsidRDefault="00863F48">
            <w:r>
              <w:rPr>
                <w:b/>
                <w:bCs/>
                <w:color w:val="F5A800"/>
                <w:sz w:val="20"/>
                <w:szCs w:val="20"/>
              </w:rPr>
              <w:t>Description</w:t>
            </w:r>
          </w:p>
        </w:tc>
      </w:tr>
      <w:tr w:rsidR="00DE4422" w14:paraId="6AF18B6A" w14:textId="77777777">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1D5665" w14:textId="77777777" w:rsidR="00DE4422" w:rsidRDefault="00863F48">
            <w:r>
              <w:rPr>
                <w:b/>
                <w:bCs/>
                <w:color w:val="111111"/>
                <w:sz w:val="20"/>
                <w:szCs w:val="20"/>
              </w:rPr>
              <w:t>1. Source</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883537" w14:textId="77777777" w:rsidR="00DE4422" w:rsidRDefault="00863F48">
            <w:r>
              <w:rPr>
                <w:i/>
                <w:iCs/>
                <w:color w:val="444444"/>
                <w:sz w:val="20"/>
                <w:szCs w:val="20"/>
              </w:rPr>
              <w:t>Google Sheets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16E2E43" w14:textId="77777777" w:rsidR="00DE4422" w:rsidRDefault="00863F48">
            <w:r>
              <w:rPr>
                <w:color w:val="333333"/>
                <w:sz w:val="20"/>
                <w:szCs w:val="20"/>
              </w:rPr>
              <w:t>Raw applicant data is stored in Google Sheets, containing fields such as applicant name, country, region, program of interest, admission status, intake year, and caller/outreach reference information.</w:t>
            </w:r>
          </w:p>
        </w:tc>
      </w:tr>
      <w:tr w:rsidR="00DE4422" w14:paraId="25DC5E74"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7E61DC" w14:textId="77777777" w:rsidR="00DE4422" w:rsidRDefault="00863F48">
            <w:r>
              <w:rPr>
                <w:b/>
                <w:bCs/>
                <w:color w:val="111111"/>
                <w:sz w:val="20"/>
                <w:szCs w:val="20"/>
              </w:rPr>
              <w:t>2. Connection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7D149B" w14:textId="77777777" w:rsidR="00DE4422" w:rsidRDefault="00863F48">
            <w:r>
              <w:rPr>
                <w:i/>
                <w:iCs/>
                <w:color w:val="444444"/>
                <w:sz w:val="20"/>
                <w:szCs w:val="20"/>
              </w:rPr>
              <w:t>Looker Studio Connector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8C566C" w14:textId="77777777" w:rsidR="00DE4422" w:rsidRDefault="00863F48">
            <w:r>
              <w:rPr>
                <w:color w:val="333333"/>
                <w:sz w:val="20"/>
                <w:szCs w:val="20"/>
              </w:rPr>
              <w:t>Looker Studio connects directly to the Google Sheets file via the native Google Sheets data connector. No intermediate database or ETL pipeline is required.</w:t>
            </w:r>
          </w:p>
        </w:tc>
      </w:tr>
      <w:tr w:rsidR="00DE4422" w14:paraId="71A97555" w14:textId="77777777">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204D3A" w14:textId="77777777" w:rsidR="00DE4422" w:rsidRDefault="00863F48">
            <w:r>
              <w:rPr>
                <w:b/>
                <w:bCs/>
                <w:color w:val="111111"/>
                <w:sz w:val="20"/>
                <w:szCs w:val="20"/>
              </w:rPr>
              <w:t>3. Transformations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C3F6FAD" w14:textId="77777777" w:rsidR="00DE4422" w:rsidRDefault="00863F48">
            <w:r>
              <w:rPr>
                <w:i/>
                <w:iCs/>
                <w:color w:val="444444"/>
                <w:sz w:val="20"/>
                <w:szCs w:val="20"/>
              </w:rPr>
              <w:t>Calculated Fields &amp; Filters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8AC363C" w14:textId="77777777" w:rsidR="00DE4422" w:rsidRDefault="00863F48">
            <w:r>
              <w:rPr>
                <w:color w:val="333333"/>
                <w:sz w:val="20"/>
                <w:szCs w:val="20"/>
              </w:rPr>
              <w:t>Calculated fields are applied within Looker Studio to derive metrics such as Acceptance Rate % (Admitted / Total Applicants × 100). Dimension filters for Country, Intake Year, and Admission Status are configured as interactive controls.</w:t>
            </w:r>
          </w:p>
        </w:tc>
      </w:tr>
      <w:tr w:rsidR="00DE4422" w14:paraId="29EB6414" w14:textId="77777777">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074068" w14:textId="77777777" w:rsidR="00DE4422" w:rsidRDefault="00863F48">
            <w:r>
              <w:rPr>
                <w:b/>
                <w:bCs/>
                <w:color w:val="111111"/>
                <w:sz w:val="20"/>
                <w:szCs w:val="20"/>
              </w:rPr>
              <w:t>4. Aggregations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3E9970" w14:textId="77777777" w:rsidR="00DE4422" w:rsidRDefault="00863F48">
            <w:r>
              <w:rPr>
                <w:i/>
                <w:iCs/>
                <w:color w:val="444444"/>
                <w:sz w:val="20"/>
                <w:szCs w:val="20"/>
              </w:rPr>
              <w:t>Count &amp; Sum operations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915EB6" w14:textId="77777777" w:rsidR="00DE4422" w:rsidRDefault="00863F48">
            <w:r>
              <w:rPr>
                <w:color w:val="333333"/>
                <w:sz w:val="20"/>
                <w:szCs w:val="20"/>
              </w:rPr>
              <w:t>Visuals aggregate data using COUNT (for applicants, countries, regions) and SUM/percentage breakdowns (for admission outcomes). Program-level and country-level groupings are applied automatically by the chart components.</w:t>
            </w:r>
          </w:p>
        </w:tc>
      </w:tr>
      <w:tr w:rsidR="00DE4422" w14:paraId="1F8C8142" w14:textId="77777777">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6B25C3" w14:textId="77777777" w:rsidR="00DE4422" w:rsidRDefault="00863F48">
            <w:r>
              <w:rPr>
                <w:b/>
                <w:bCs/>
                <w:color w:val="111111"/>
                <w:sz w:val="20"/>
                <w:szCs w:val="20"/>
              </w:rPr>
              <w:t>5. Visuals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948328" w14:textId="77777777" w:rsidR="00DE4422" w:rsidRDefault="00863F48">
            <w:r>
              <w:rPr>
                <w:i/>
                <w:iCs/>
                <w:color w:val="444444"/>
                <w:sz w:val="20"/>
                <w:szCs w:val="20"/>
              </w:rPr>
              <w:t>Charts &amp; Scorecards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7785CCA" w14:textId="77777777" w:rsidR="00DE4422" w:rsidRDefault="00863F48">
            <w:r>
              <w:rPr>
                <w:color w:val="333333"/>
                <w:sz w:val="20"/>
                <w:szCs w:val="20"/>
              </w:rPr>
              <w:t>Aggregated data is rendered into 6 KPI scorecards, 2 bar charts, 1 donut chart, and 1 ranked table. All visuals respond dynamically to the 3 interactive filter controls at the top of the dashboard.</w:t>
            </w:r>
          </w:p>
        </w:tc>
      </w:tr>
    </w:tbl>
    <w:p w14:paraId="58260328" w14:textId="77777777" w:rsidR="00DE4422" w:rsidRDefault="00DE4422">
      <w:pPr>
        <w:spacing w:before="80" w:after="80"/>
      </w:pPr>
    </w:p>
    <w:p w14:paraId="4553F25E" w14:textId="77777777" w:rsidR="00DE4422" w:rsidRDefault="00863F48">
      <w:pPr>
        <w:pStyle w:val="Heading2"/>
      </w:pPr>
      <w:r>
        <w:t>Key Fields Used</w:t>
      </w:r>
    </w:p>
    <w:p w14:paraId="4085DC03" w14:textId="77777777" w:rsidR="00DE4422" w:rsidRDefault="00863F48">
      <w:pPr>
        <w:pStyle w:val="ListParagraph"/>
        <w:numPr>
          <w:ilvl w:val="0"/>
          <w:numId w:val="2"/>
        </w:numPr>
        <w:spacing w:before="40" w:after="40"/>
      </w:pPr>
      <w:r>
        <w:rPr>
          <w:color w:val="333333"/>
        </w:rPr>
        <w:t>Applicant Status — used to compute Admitted vs. Pending split and Acceptance Rate %.</w:t>
      </w:r>
    </w:p>
    <w:p w14:paraId="6A562D17" w14:textId="77777777" w:rsidR="00DE4422" w:rsidRDefault="00863F48">
      <w:pPr>
        <w:pStyle w:val="ListParagraph"/>
        <w:numPr>
          <w:ilvl w:val="0"/>
          <w:numId w:val="2"/>
        </w:numPr>
        <w:spacing w:before="40" w:after="40"/>
      </w:pPr>
      <w:r>
        <w:rPr>
          <w:color w:val="333333"/>
        </w:rPr>
        <w:t>Country &amp; Region — used to build the country-level bar chart and populate the Country filter.</w:t>
      </w:r>
    </w:p>
    <w:p w14:paraId="070CA892" w14:textId="77777777" w:rsidR="00DE4422" w:rsidRDefault="00863F48">
      <w:pPr>
        <w:pStyle w:val="ListParagraph"/>
        <w:numPr>
          <w:ilvl w:val="0"/>
          <w:numId w:val="2"/>
        </w:numPr>
        <w:spacing w:before="40" w:after="40"/>
      </w:pPr>
      <w:r>
        <w:rPr>
          <w:color w:val="333333"/>
        </w:rPr>
        <w:t>Program — used to build the Program Performance bar chart.</w:t>
      </w:r>
    </w:p>
    <w:p w14:paraId="0BAB9B05" w14:textId="77777777" w:rsidR="00DE4422" w:rsidRDefault="00863F48">
      <w:pPr>
        <w:pStyle w:val="ListParagraph"/>
        <w:numPr>
          <w:ilvl w:val="0"/>
          <w:numId w:val="2"/>
        </w:numPr>
        <w:spacing w:before="40" w:after="40"/>
      </w:pPr>
      <w:r>
        <w:rPr>
          <w:color w:val="333333"/>
        </w:rPr>
        <w:t>Intake Year — used to populate the Intake Year filter for time-based segmentation.</w:t>
      </w:r>
    </w:p>
    <w:p w14:paraId="5166C836" w14:textId="77777777" w:rsidR="00DE4422" w:rsidRDefault="00863F48">
      <w:pPr>
        <w:pStyle w:val="ListParagraph"/>
        <w:numPr>
          <w:ilvl w:val="0"/>
          <w:numId w:val="2"/>
        </w:numPr>
        <w:spacing w:before="40" w:after="40"/>
      </w:pPr>
      <w:proofErr w:type="spellStart"/>
      <w:r>
        <w:rPr>
          <w:color w:val="333333"/>
        </w:rPr>
        <w:t>Caller_Name</w:t>
      </w:r>
      <w:proofErr w:type="spellEnd"/>
      <w:r>
        <w:rPr>
          <w:color w:val="333333"/>
        </w:rPr>
        <w:t xml:space="preserve"> &amp; </w:t>
      </w:r>
      <w:proofErr w:type="spellStart"/>
      <w:r>
        <w:rPr>
          <w:color w:val="333333"/>
        </w:rPr>
        <w:t>Reference_ID</w:t>
      </w:r>
      <w:proofErr w:type="spellEnd"/>
      <w:r>
        <w:rPr>
          <w:color w:val="333333"/>
        </w:rPr>
        <w:t xml:space="preserve"> — used to build the Outreach Metrics ranked table.</w:t>
      </w:r>
    </w:p>
    <w:p w14:paraId="6F1B9EB3" w14:textId="77777777" w:rsidR="00DE4422" w:rsidRDefault="00DE4422">
      <w:pPr>
        <w:spacing w:before="80" w:after="80"/>
      </w:pPr>
    </w:p>
    <w:p w14:paraId="11A42620" w14:textId="77777777" w:rsidR="00DE4422" w:rsidRDefault="00DE4422">
      <w:pPr>
        <w:pBdr>
          <w:bottom w:val="single" w:sz="4" w:space="1" w:color="F5A800"/>
        </w:pBdr>
        <w:spacing w:before="120" w:after="120"/>
      </w:pPr>
    </w:p>
    <w:p w14:paraId="365DD7B3" w14:textId="77777777" w:rsidR="007F08A1" w:rsidRDefault="007F08A1">
      <w:pPr>
        <w:pStyle w:val="Heading1"/>
      </w:pPr>
    </w:p>
    <w:p w14:paraId="3CE17D50" w14:textId="77777777" w:rsidR="007F08A1" w:rsidRDefault="007F08A1">
      <w:pPr>
        <w:pStyle w:val="Heading1"/>
      </w:pPr>
    </w:p>
    <w:p w14:paraId="2A564939" w14:textId="77777777" w:rsidR="007F08A1" w:rsidRDefault="007F08A1">
      <w:pPr>
        <w:pStyle w:val="Heading1"/>
      </w:pPr>
    </w:p>
    <w:p w14:paraId="33C0B012" w14:textId="77777777" w:rsidR="007F08A1" w:rsidRDefault="007F08A1">
      <w:pPr>
        <w:pStyle w:val="Heading1"/>
      </w:pPr>
    </w:p>
    <w:p w14:paraId="61575F15" w14:textId="2FE65E69" w:rsidR="00DE4422" w:rsidRDefault="00863F48">
      <w:pPr>
        <w:pStyle w:val="Heading1"/>
      </w:pPr>
      <w:r>
        <w:t>5. Challenges Encountered During Creation</w:t>
      </w:r>
    </w:p>
    <w:p w14:paraId="6FE79114" w14:textId="77777777" w:rsidR="00DE4422" w:rsidRDefault="00DE4422">
      <w:pPr>
        <w:spacing w:before="80" w:after="80"/>
      </w:pPr>
    </w:p>
    <w:p w14:paraId="21B58E0D" w14:textId="77777777" w:rsidR="00DE4422" w:rsidRDefault="00863F48">
      <w:pPr>
        <w:pStyle w:val="Heading2"/>
      </w:pPr>
      <w:r>
        <w:t>1. Data Skew in Country-Level Distribution</w:t>
      </w:r>
    </w:p>
    <w:p w14:paraId="4D173DD9" w14:textId="77777777" w:rsidR="00DE4422" w:rsidRDefault="00863F48">
      <w:pPr>
        <w:spacing w:before="60" w:after="100"/>
      </w:pPr>
      <w:r>
        <w:rPr>
          <w:color w:val="333333"/>
        </w:rPr>
        <w:t>India accounted for 2,684 of the 5,000 total applicants — more than five times the next largest source country (USA at 489). This extreme skew compressed all other countries' bars in the horizontal bar chart, making smaller values visually difficult to compare. To address this, the chart was configured with explicit data labels on each bar so that precise values remained readable regardless of bar length.</w:t>
      </w:r>
    </w:p>
    <w:p w14:paraId="0FAC7F5B" w14:textId="77777777" w:rsidR="00DE4422" w:rsidRDefault="00DE4422">
      <w:pPr>
        <w:spacing w:before="80" w:after="80"/>
      </w:pPr>
    </w:p>
    <w:p w14:paraId="679E9182" w14:textId="77777777" w:rsidR="00DE4422" w:rsidRDefault="00863F48">
      <w:pPr>
        <w:pStyle w:val="Heading2"/>
      </w:pPr>
      <w:r>
        <w:t>2. Handling 'NA' Values in Outreach Data</w:t>
      </w:r>
    </w:p>
    <w:p w14:paraId="4941250F" w14:textId="77777777" w:rsidR="00DE4422" w:rsidRDefault="00863F48">
      <w:pPr>
        <w:spacing w:before="60" w:after="100"/>
      </w:pPr>
      <w:r>
        <w:rPr>
          <w:color w:val="333333"/>
        </w:rPr>
        <w:t xml:space="preserve">The Outreach Metrics table shows 'NA' as the top entry with a </w:t>
      </w:r>
      <w:proofErr w:type="spellStart"/>
      <w:r>
        <w:rPr>
          <w:color w:val="333333"/>
        </w:rPr>
        <w:t>Reference_ID</w:t>
      </w:r>
      <w:proofErr w:type="spellEnd"/>
      <w:r>
        <w:rPr>
          <w:color w:val="333333"/>
        </w:rPr>
        <w:t xml:space="preserve"> count of 3,194 — representing applicants with no assigned caller. This required a design decision: whether to filter out NA values or surface them as a data quality indicator. The decision was made to retain NA to make the gap in outreach coverage visible to leadership, prompting action on unassigned leads.</w:t>
      </w:r>
    </w:p>
    <w:p w14:paraId="63377B73" w14:textId="77777777" w:rsidR="00DE4422" w:rsidRDefault="00DE4422">
      <w:pPr>
        <w:spacing w:before="80" w:after="80"/>
      </w:pPr>
    </w:p>
    <w:p w14:paraId="6287E429" w14:textId="77777777" w:rsidR="00DE4422" w:rsidRDefault="00863F48">
      <w:pPr>
        <w:pStyle w:val="Heading2"/>
      </w:pPr>
      <w:r>
        <w:t>3. Balancing Summary vs. Detail in a Single Page</w:t>
      </w:r>
    </w:p>
    <w:p w14:paraId="1248DCA1" w14:textId="77777777" w:rsidR="00DE4422" w:rsidRDefault="00863F48">
      <w:pPr>
        <w:spacing w:before="60" w:after="100"/>
      </w:pPr>
      <w:r>
        <w:rPr>
          <w:color w:val="333333"/>
        </w:rPr>
        <w:t>Fitting six KPI scorecards, two bar charts, a donut chart, and a ranked table onto a single dashboard page without creating visual clutter required careful sizing and alignment. Elements were organized into clearly defined zones with consistent gutters, and the header filter controls were right-aligned to avoid competing with the title.</w:t>
      </w:r>
    </w:p>
    <w:p w14:paraId="1044B6E7" w14:textId="77777777" w:rsidR="00DE4422" w:rsidRDefault="00DE4422">
      <w:pPr>
        <w:spacing w:before="80" w:after="80"/>
      </w:pPr>
    </w:p>
    <w:p w14:paraId="3729680D" w14:textId="77777777" w:rsidR="00DE4422" w:rsidRDefault="00863F48">
      <w:pPr>
        <w:pStyle w:val="Heading2"/>
      </w:pPr>
      <w:r>
        <w:t>4. Program Name Truncation</w:t>
      </w:r>
    </w:p>
    <w:p w14:paraId="4A899409" w14:textId="77777777" w:rsidR="00DE4422" w:rsidRDefault="00863F48">
      <w:pPr>
        <w:spacing w:before="60" w:after="100"/>
      </w:pPr>
      <w:r>
        <w:rPr>
          <w:color w:val="333333"/>
        </w:rPr>
        <w:t>Several academic program names (e.g., 'Business Analytics', 'Health Information Management', 'Information Systems') were too long to display in full on the X-axis of the Program Performance bar chart at the chosen chart width. Looker Studio automatically truncated these labels with ellipses. To mitigate this, the chart was sized to the maximum available width on the right half of the dashboard, and tooltips provide the full program name on hover.</w:t>
      </w:r>
    </w:p>
    <w:p w14:paraId="1B010AE4" w14:textId="77777777" w:rsidR="00DE4422" w:rsidRDefault="00DE4422">
      <w:pPr>
        <w:spacing w:before="80" w:after="80"/>
      </w:pPr>
    </w:p>
    <w:p w14:paraId="120B9CB4" w14:textId="77777777" w:rsidR="00DE4422" w:rsidRDefault="00863F48">
      <w:pPr>
        <w:pStyle w:val="Heading2"/>
      </w:pPr>
      <w:r>
        <w:t>5. Filter Coordination Across All Visuals</w:t>
      </w:r>
    </w:p>
    <w:p w14:paraId="628770FE" w14:textId="77777777" w:rsidR="00DE4422" w:rsidRDefault="00863F48">
      <w:pPr>
        <w:spacing w:before="60" w:after="100"/>
      </w:pPr>
      <w:r>
        <w:rPr>
          <w:color w:val="333333"/>
        </w:rPr>
        <w:t xml:space="preserve">Ensuring that all three dropdown filters (Country, Intake Year, Admission Status) dynamically controlled every visual on the page — including both bar charts, the donut, the table, and the scorecards — required explicit configuration of each filter's scope within Looker Studio. Default filter </w:t>
      </w:r>
      <w:proofErr w:type="spellStart"/>
      <w:r>
        <w:rPr>
          <w:color w:val="333333"/>
        </w:rPr>
        <w:t>behavior</w:t>
      </w:r>
      <w:proofErr w:type="spellEnd"/>
      <w:r>
        <w:rPr>
          <w:color w:val="333333"/>
        </w:rPr>
        <w:t xml:space="preserve"> can be component-scoped, so each control was manually set to apply across all data components to ensure a consistent, coherent filtered view.</w:t>
      </w:r>
    </w:p>
    <w:p w14:paraId="0106A4AE" w14:textId="77777777" w:rsidR="00DE4422" w:rsidRDefault="00DE4422">
      <w:pPr>
        <w:spacing w:before="80" w:after="80"/>
      </w:pPr>
    </w:p>
    <w:p w14:paraId="2389C655" w14:textId="77777777" w:rsidR="00B57101" w:rsidRDefault="00B57101">
      <w:pPr>
        <w:spacing w:before="80" w:after="80"/>
      </w:pPr>
    </w:p>
    <w:p w14:paraId="15DC11FF" w14:textId="77777777" w:rsidR="00B57101" w:rsidRDefault="00B57101">
      <w:pPr>
        <w:spacing w:before="80" w:after="80"/>
      </w:pPr>
    </w:p>
    <w:p w14:paraId="5D82BB1E" w14:textId="77777777" w:rsidR="00B57101" w:rsidRDefault="00B57101">
      <w:pPr>
        <w:spacing w:before="80" w:after="80"/>
      </w:pPr>
    </w:p>
    <w:p w14:paraId="7BBAC6FB" w14:textId="77777777" w:rsidR="00B57101" w:rsidRDefault="00B57101">
      <w:pPr>
        <w:spacing w:before="80" w:after="80"/>
      </w:pPr>
    </w:p>
    <w:p w14:paraId="409DC95F" w14:textId="77777777" w:rsidR="00B57101" w:rsidRDefault="00B57101">
      <w:pPr>
        <w:spacing w:before="80" w:after="80"/>
      </w:pPr>
    </w:p>
    <w:p w14:paraId="2940C016" w14:textId="77777777" w:rsidR="00B57101" w:rsidRDefault="00B57101">
      <w:pPr>
        <w:spacing w:before="80" w:after="80"/>
      </w:pPr>
    </w:p>
    <w:p w14:paraId="42C68E7C" w14:textId="77777777" w:rsidR="00B57101" w:rsidRDefault="00B57101">
      <w:pPr>
        <w:spacing w:before="80" w:after="80"/>
      </w:pPr>
    </w:p>
    <w:p w14:paraId="3512B23F" w14:textId="09A1FC6D" w:rsidR="00CD4C42" w:rsidRDefault="00CD4C42">
      <w:pPr>
        <w:spacing w:before="80" w:after="80"/>
        <w:rPr>
          <w:b/>
          <w:bCs/>
          <w:color w:val="F5A800"/>
          <w:sz w:val="30"/>
          <w:szCs w:val="30"/>
        </w:rPr>
      </w:pPr>
      <w:r w:rsidRPr="00BD6965">
        <w:rPr>
          <w:b/>
          <w:bCs/>
          <w:color w:val="F5A800"/>
          <w:sz w:val="30"/>
          <w:szCs w:val="30"/>
        </w:rPr>
        <w:t>6.</w:t>
      </w:r>
      <w:r w:rsidR="00BD6965" w:rsidRPr="00BD6965">
        <w:rPr>
          <w:b/>
          <w:bCs/>
          <w:color w:val="F5A800"/>
          <w:sz w:val="30"/>
          <w:szCs w:val="30"/>
        </w:rPr>
        <w:t>Screenshots and Dashboard Link</w:t>
      </w:r>
    </w:p>
    <w:p w14:paraId="06916147" w14:textId="77777777" w:rsidR="00BD6965" w:rsidRDefault="00BD6965">
      <w:pPr>
        <w:spacing w:before="80" w:after="80"/>
        <w:rPr>
          <w:b/>
          <w:bCs/>
          <w:color w:val="F5A800"/>
          <w:sz w:val="30"/>
          <w:szCs w:val="30"/>
        </w:rPr>
      </w:pPr>
    </w:p>
    <w:p w14:paraId="460443D1" w14:textId="4576FA13" w:rsidR="00BD6965" w:rsidRPr="00BD6965" w:rsidRDefault="001D0D66">
      <w:pPr>
        <w:spacing w:before="80" w:after="80"/>
        <w:rPr>
          <w:b/>
          <w:bCs/>
          <w:color w:val="F5A800"/>
          <w:sz w:val="30"/>
          <w:szCs w:val="30"/>
        </w:rPr>
      </w:pPr>
      <w:r>
        <w:rPr>
          <w:b/>
          <w:bCs/>
          <w:noProof/>
          <w:color w:val="F5A800"/>
          <w:sz w:val="30"/>
          <w:szCs w:val="30"/>
        </w:rPr>
        <w:drawing>
          <wp:inline distT="0" distB="0" distL="0" distR="0" wp14:anchorId="00648B57" wp14:editId="73FF0F75">
            <wp:extent cx="6400800" cy="3695065"/>
            <wp:effectExtent l="0" t="0" r="0" b="635"/>
            <wp:docPr id="547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286" name="Picture 5477286"/>
                    <pic:cNvPicPr/>
                  </pic:nvPicPr>
                  <pic:blipFill>
                    <a:blip r:embed="rId7">
                      <a:extLst>
                        <a:ext uri="{28A0092B-C50C-407E-A947-70E740481C1C}">
                          <a14:useLocalDpi xmlns:a14="http://schemas.microsoft.com/office/drawing/2010/main" val="0"/>
                        </a:ext>
                      </a:extLst>
                    </a:blip>
                    <a:stretch>
                      <a:fillRect/>
                    </a:stretch>
                  </pic:blipFill>
                  <pic:spPr>
                    <a:xfrm>
                      <a:off x="0" y="0"/>
                      <a:ext cx="6400800" cy="3695065"/>
                    </a:xfrm>
                    <a:prstGeom prst="rect">
                      <a:avLst/>
                    </a:prstGeom>
                  </pic:spPr>
                </pic:pic>
              </a:graphicData>
            </a:graphic>
          </wp:inline>
        </w:drawing>
      </w:r>
    </w:p>
    <w:p w14:paraId="76E869F8" w14:textId="77777777" w:rsidR="00DE4422" w:rsidRDefault="00DE4422">
      <w:pPr>
        <w:pBdr>
          <w:bottom w:val="single" w:sz="4" w:space="1" w:color="F5A800"/>
        </w:pBdr>
        <w:spacing w:before="120" w:after="120"/>
      </w:pPr>
    </w:p>
    <w:p w14:paraId="434A6B02" w14:textId="7E423A1C" w:rsidR="003308F0" w:rsidRDefault="003308F0">
      <w:pPr>
        <w:pBdr>
          <w:bottom w:val="single" w:sz="4" w:space="1" w:color="F5A800"/>
        </w:pBdr>
        <w:spacing w:before="120" w:after="120"/>
      </w:pPr>
      <w:r>
        <w:rPr>
          <w:noProof/>
        </w:rPr>
        <w:drawing>
          <wp:inline distT="0" distB="0" distL="0" distR="0" wp14:anchorId="4DBC4FFD" wp14:editId="2726F4B0">
            <wp:extent cx="6400800" cy="3703320"/>
            <wp:effectExtent l="0" t="0" r="0" b="0"/>
            <wp:docPr id="938210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10706" name="Picture 938210706"/>
                    <pic:cNvPicPr/>
                  </pic:nvPicPr>
                  <pic:blipFill>
                    <a:blip r:embed="rId8">
                      <a:extLst>
                        <a:ext uri="{28A0092B-C50C-407E-A947-70E740481C1C}">
                          <a14:useLocalDpi xmlns:a14="http://schemas.microsoft.com/office/drawing/2010/main" val="0"/>
                        </a:ext>
                      </a:extLst>
                    </a:blip>
                    <a:stretch>
                      <a:fillRect/>
                    </a:stretch>
                  </pic:blipFill>
                  <pic:spPr>
                    <a:xfrm>
                      <a:off x="0" y="0"/>
                      <a:ext cx="6400800" cy="3703320"/>
                    </a:xfrm>
                    <a:prstGeom prst="rect">
                      <a:avLst/>
                    </a:prstGeom>
                  </pic:spPr>
                </pic:pic>
              </a:graphicData>
            </a:graphic>
          </wp:inline>
        </w:drawing>
      </w:r>
    </w:p>
    <w:p w14:paraId="4D36493A" w14:textId="77777777" w:rsidR="00DE4422" w:rsidRDefault="00DE4422">
      <w:pPr>
        <w:spacing w:before="80" w:after="80"/>
      </w:pPr>
    </w:p>
    <w:p w14:paraId="5349F31D" w14:textId="4C229CAC" w:rsidR="003308F0" w:rsidRDefault="003308F0">
      <w:pPr>
        <w:spacing w:before="80" w:after="80"/>
      </w:pPr>
      <w:r>
        <w:rPr>
          <w:noProof/>
        </w:rPr>
        <w:drawing>
          <wp:inline distT="0" distB="0" distL="0" distR="0" wp14:anchorId="66E1414F" wp14:editId="43CB836A">
            <wp:extent cx="6400800" cy="3721100"/>
            <wp:effectExtent l="0" t="0" r="0" b="0"/>
            <wp:docPr id="1273740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40661" name="Picture 1273740661"/>
                    <pic:cNvPicPr/>
                  </pic:nvPicPr>
                  <pic:blipFill>
                    <a:blip r:embed="rId9">
                      <a:extLst>
                        <a:ext uri="{28A0092B-C50C-407E-A947-70E740481C1C}">
                          <a14:useLocalDpi xmlns:a14="http://schemas.microsoft.com/office/drawing/2010/main" val="0"/>
                        </a:ext>
                      </a:extLst>
                    </a:blip>
                    <a:stretch>
                      <a:fillRect/>
                    </a:stretch>
                  </pic:blipFill>
                  <pic:spPr>
                    <a:xfrm>
                      <a:off x="0" y="0"/>
                      <a:ext cx="6400800" cy="3721100"/>
                    </a:xfrm>
                    <a:prstGeom prst="rect">
                      <a:avLst/>
                    </a:prstGeom>
                  </pic:spPr>
                </pic:pic>
              </a:graphicData>
            </a:graphic>
          </wp:inline>
        </w:drawing>
      </w:r>
    </w:p>
    <w:p w14:paraId="70AE2698" w14:textId="77777777" w:rsidR="003308F0" w:rsidRDefault="003308F0">
      <w:pPr>
        <w:spacing w:before="80" w:after="80"/>
      </w:pPr>
    </w:p>
    <w:p w14:paraId="76DABF07" w14:textId="547E9EC6" w:rsidR="00D30E01" w:rsidRDefault="00D30E01">
      <w:pPr>
        <w:spacing w:before="80" w:after="80"/>
      </w:pPr>
      <w:r>
        <w:rPr>
          <w:noProof/>
        </w:rPr>
        <w:drawing>
          <wp:inline distT="0" distB="0" distL="0" distR="0" wp14:anchorId="189DF73C" wp14:editId="0C6484BB">
            <wp:extent cx="6400800" cy="3609975"/>
            <wp:effectExtent l="0" t="0" r="0" b="9525"/>
            <wp:docPr id="1489348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48392" name="Picture 1489348392"/>
                    <pic:cNvPicPr/>
                  </pic:nvPicPr>
                  <pic:blipFill>
                    <a:blip r:embed="rId10">
                      <a:extLst>
                        <a:ext uri="{28A0092B-C50C-407E-A947-70E740481C1C}">
                          <a14:useLocalDpi xmlns:a14="http://schemas.microsoft.com/office/drawing/2010/main" val="0"/>
                        </a:ext>
                      </a:extLst>
                    </a:blip>
                    <a:stretch>
                      <a:fillRect/>
                    </a:stretch>
                  </pic:blipFill>
                  <pic:spPr>
                    <a:xfrm>
                      <a:off x="0" y="0"/>
                      <a:ext cx="6400800" cy="3609975"/>
                    </a:xfrm>
                    <a:prstGeom prst="rect">
                      <a:avLst/>
                    </a:prstGeom>
                  </pic:spPr>
                </pic:pic>
              </a:graphicData>
            </a:graphic>
          </wp:inline>
        </w:drawing>
      </w:r>
    </w:p>
    <w:p w14:paraId="72279685" w14:textId="77777777" w:rsidR="00D30E01" w:rsidRDefault="00D30E01">
      <w:pPr>
        <w:spacing w:before="80" w:after="80"/>
      </w:pPr>
    </w:p>
    <w:p w14:paraId="1B192047" w14:textId="77777777" w:rsidR="00D30E01" w:rsidRDefault="00D30E01">
      <w:pPr>
        <w:spacing w:before="80" w:after="80"/>
      </w:pPr>
    </w:p>
    <w:p w14:paraId="1E45D330" w14:textId="77777777" w:rsidR="00D30E01" w:rsidRDefault="00D30E01">
      <w:pPr>
        <w:spacing w:before="80" w:after="80"/>
      </w:pPr>
    </w:p>
    <w:p w14:paraId="253A11E7" w14:textId="77777777" w:rsidR="00D30E01" w:rsidRDefault="00D30E01">
      <w:pPr>
        <w:spacing w:before="80" w:after="80"/>
      </w:pPr>
    </w:p>
    <w:p w14:paraId="4E89FFE8" w14:textId="77777777" w:rsidR="00D30E01" w:rsidRDefault="00D30E01">
      <w:pPr>
        <w:spacing w:before="80" w:after="80"/>
      </w:pPr>
    </w:p>
    <w:p w14:paraId="5BEC3739" w14:textId="39A04638" w:rsidR="00D30E01" w:rsidRDefault="00D30E01">
      <w:pPr>
        <w:spacing w:before="80" w:after="80"/>
      </w:pPr>
      <w:r>
        <w:rPr>
          <w:noProof/>
        </w:rPr>
        <w:drawing>
          <wp:inline distT="0" distB="0" distL="0" distR="0" wp14:anchorId="54B2B5EC" wp14:editId="5FAD0AE0">
            <wp:extent cx="6400800" cy="3698240"/>
            <wp:effectExtent l="0" t="0" r="0" b="0"/>
            <wp:docPr id="1893440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40054" name="Picture 1893440054"/>
                    <pic:cNvPicPr/>
                  </pic:nvPicPr>
                  <pic:blipFill>
                    <a:blip r:embed="rId11">
                      <a:extLst>
                        <a:ext uri="{28A0092B-C50C-407E-A947-70E740481C1C}">
                          <a14:useLocalDpi xmlns:a14="http://schemas.microsoft.com/office/drawing/2010/main" val="0"/>
                        </a:ext>
                      </a:extLst>
                    </a:blip>
                    <a:stretch>
                      <a:fillRect/>
                    </a:stretch>
                  </pic:blipFill>
                  <pic:spPr>
                    <a:xfrm>
                      <a:off x="0" y="0"/>
                      <a:ext cx="6400800" cy="3698240"/>
                    </a:xfrm>
                    <a:prstGeom prst="rect">
                      <a:avLst/>
                    </a:prstGeom>
                  </pic:spPr>
                </pic:pic>
              </a:graphicData>
            </a:graphic>
          </wp:inline>
        </w:drawing>
      </w:r>
    </w:p>
    <w:p w14:paraId="3817DA5B" w14:textId="77777777" w:rsidR="00D30E01" w:rsidRDefault="00D30E01">
      <w:pPr>
        <w:spacing w:before="80" w:after="80"/>
      </w:pPr>
    </w:p>
    <w:p w14:paraId="2C309E44" w14:textId="557B256D" w:rsidR="00D30E01" w:rsidRDefault="00D30E01">
      <w:pPr>
        <w:spacing w:before="80" w:after="80"/>
      </w:pPr>
      <w:r>
        <w:rPr>
          <w:noProof/>
        </w:rPr>
        <w:drawing>
          <wp:inline distT="0" distB="0" distL="0" distR="0" wp14:anchorId="7057B9E9" wp14:editId="5AEB228B">
            <wp:extent cx="6400800" cy="3700145"/>
            <wp:effectExtent l="0" t="0" r="0" b="0"/>
            <wp:docPr id="1377834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34511" name="Picture 1377834511"/>
                    <pic:cNvPicPr/>
                  </pic:nvPicPr>
                  <pic:blipFill>
                    <a:blip r:embed="rId12">
                      <a:extLst>
                        <a:ext uri="{28A0092B-C50C-407E-A947-70E740481C1C}">
                          <a14:useLocalDpi xmlns:a14="http://schemas.microsoft.com/office/drawing/2010/main" val="0"/>
                        </a:ext>
                      </a:extLst>
                    </a:blip>
                    <a:stretch>
                      <a:fillRect/>
                    </a:stretch>
                  </pic:blipFill>
                  <pic:spPr>
                    <a:xfrm>
                      <a:off x="0" y="0"/>
                      <a:ext cx="6400800" cy="3700145"/>
                    </a:xfrm>
                    <a:prstGeom prst="rect">
                      <a:avLst/>
                    </a:prstGeom>
                  </pic:spPr>
                </pic:pic>
              </a:graphicData>
            </a:graphic>
          </wp:inline>
        </w:drawing>
      </w:r>
    </w:p>
    <w:p w14:paraId="511DA32D" w14:textId="77777777" w:rsidR="00D30E01" w:rsidRDefault="00D30E01">
      <w:pPr>
        <w:spacing w:before="80" w:after="80"/>
      </w:pPr>
    </w:p>
    <w:p w14:paraId="0BE1EDA2" w14:textId="77777777" w:rsidR="00D30E01" w:rsidRDefault="00D30E01">
      <w:pPr>
        <w:spacing w:before="80" w:after="80"/>
      </w:pPr>
    </w:p>
    <w:p w14:paraId="6A1CB6DF" w14:textId="77777777" w:rsidR="00D30E01" w:rsidRDefault="00D30E01">
      <w:pPr>
        <w:spacing w:before="80" w:after="80"/>
      </w:pPr>
    </w:p>
    <w:p w14:paraId="2A91E21B" w14:textId="77777777" w:rsidR="00D30E01" w:rsidRDefault="00D30E01">
      <w:pPr>
        <w:spacing w:before="80" w:after="80"/>
      </w:pPr>
    </w:p>
    <w:p w14:paraId="2BD74C97" w14:textId="2666FBD7" w:rsidR="00D30E01" w:rsidRDefault="00D30E01">
      <w:pPr>
        <w:spacing w:before="80" w:after="80"/>
      </w:pPr>
      <w:r>
        <w:rPr>
          <w:noProof/>
        </w:rPr>
        <w:drawing>
          <wp:inline distT="0" distB="0" distL="0" distR="0" wp14:anchorId="57D834BB" wp14:editId="68D99132">
            <wp:extent cx="6400800" cy="3707130"/>
            <wp:effectExtent l="0" t="0" r="0" b="7620"/>
            <wp:docPr id="2115649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9917" name="Picture 2115649917"/>
                    <pic:cNvPicPr/>
                  </pic:nvPicPr>
                  <pic:blipFill>
                    <a:blip r:embed="rId13">
                      <a:extLst>
                        <a:ext uri="{28A0092B-C50C-407E-A947-70E740481C1C}">
                          <a14:useLocalDpi xmlns:a14="http://schemas.microsoft.com/office/drawing/2010/main" val="0"/>
                        </a:ext>
                      </a:extLst>
                    </a:blip>
                    <a:stretch>
                      <a:fillRect/>
                    </a:stretch>
                  </pic:blipFill>
                  <pic:spPr>
                    <a:xfrm>
                      <a:off x="0" y="0"/>
                      <a:ext cx="6400800" cy="3707130"/>
                    </a:xfrm>
                    <a:prstGeom prst="rect">
                      <a:avLst/>
                    </a:prstGeom>
                  </pic:spPr>
                </pic:pic>
              </a:graphicData>
            </a:graphic>
          </wp:inline>
        </w:drawing>
      </w:r>
    </w:p>
    <w:p w14:paraId="1A801098" w14:textId="77777777" w:rsidR="00D30E01" w:rsidRDefault="00D30E01">
      <w:pPr>
        <w:spacing w:before="80" w:after="80"/>
      </w:pPr>
    </w:p>
    <w:p w14:paraId="79AF4B6D" w14:textId="208D4922" w:rsidR="00142753" w:rsidRPr="00142753" w:rsidRDefault="00142753">
      <w:pPr>
        <w:spacing w:before="80" w:after="80"/>
        <w:rPr>
          <w:b/>
          <w:bCs/>
          <w:color w:val="F5A800"/>
          <w:sz w:val="30"/>
          <w:szCs w:val="30"/>
        </w:rPr>
      </w:pPr>
      <w:hyperlink r:id="rId14" w:history="1">
        <w:proofErr w:type="gramStart"/>
        <w:r w:rsidRPr="00142753">
          <w:rPr>
            <w:rStyle w:val="Hyperlink"/>
            <w:b/>
            <w:bCs/>
            <w:sz w:val="30"/>
            <w:szCs w:val="30"/>
          </w:rPr>
          <w:t>Link:-</w:t>
        </w:r>
        <w:proofErr w:type="gramEnd"/>
      </w:hyperlink>
    </w:p>
    <w:p w14:paraId="097732D1" w14:textId="5A7FF38D" w:rsidR="00D30E01" w:rsidRPr="00A113E1" w:rsidRDefault="00142753">
      <w:pPr>
        <w:spacing w:before="80" w:after="80"/>
        <w:rPr>
          <w:b/>
          <w:bCs/>
          <w:sz w:val="30"/>
          <w:szCs w:val="30"/>
        </w:rPr>
      </w:pPr>
      <w:r w:rsidRPr="00142753">
        <w:rPr>
          <w:b/>
          <w:bCs/>
          <w:sz w:val="30"/>
          <w:szCs w:val="30"/>
        </w:rPr>
        <w:t>https://lookerstudio.google.com/reporting/8711e03e-47b6-4cbf-8e31-e2f3d50fb948</w:t>
      </w:r>
    </w:p>
    <w:p w14:paraId="1AA6E03F" w14:textId="77777777" w:rsidR="00A113E1" w:rsidRDefault="00A113E1">
      <w:pPr>
        <w:spacing w:before="80" w:after="80"/>
      </w:pPr>
    </w:p>
    <w:p w14:paraId="7EA9CC83" w14:textId="77777777" w:rsidR="00A113E1" w:rsidRDefault="00A113E1">
      <w:pPr>
        <w:spacing w:before="80" w:after="80"/>
      </w:pPr>
    </w:p>
    <w:p w14:paraId="521AD802" w14:textId="77777777" w:rsidR="00A113E1" w:rsidRDefault="00A113E1">
      <w:pPr>
        <w:spacing w:before="80" w:after="80"/>
      </w:pPr>
    </w:p>
    <w:p w14:paraId="53E5092A" w14:textId="77777777" w:rsidR="00A113E1" w:rsidRDefault="00A113E1">
      <w:pPr>
        <w:spacing w:before="80" w:after="80"/>
      </w:pPr>
    </w:p>
    <w:p w14:paraId="3C311BE1" w14:textId="77777777" w:rsidR="00A113E1" w:rsidRDefault="00A113E1">
      <w:pPr>
        <w:spacing w:before="80" w:after="80"/>
      </w:pPr>
    </w:p>
    <w:p w14:paraId="36A41E4C" w14:textId="77777777" w:rsidR="00DE4422" w:rsidRDefault="00863F48">
      <w:pPr>
        <w:jc w:val="center"/>
      </w:pPr>
      <w:r>
        <w:rPr>
          <w:i/>
          <w:iCs/>
          <w:color w:val="999999"/>
          <w:sz w:val="18"/>
          <w:szCs w:val="18"/>
        </w:rPr>
        <w:t>End of Document</w:t>
      </w:r>
    </w:p>
    <w:sectPr w:rsidR="00DE4422">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E9A08" w14:textId="77777777" w:rsidR="00E155B9" w:rsidRDefault="00E155B9">
      <w:r>
        <w:separator/>
      </w:r>
    </w:p>
  </w:endnote>
  <w:endnote w:type="continuationSeparator" w:id="0">
    <w:p w14:paraId="28F11458" w14:textId="77777777" w:rsidR="00E155B9" w:rsidRDefault="00E15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D4AC" w14:textId="77777777" w:rsidR="00DE4422" w:rsidRDefault="00863F48">
    <w:pPr>
      <w:jc w:val="center"/>
    </w:pPr>
    <w:r>
      <w:rPr>
        <w:color w:val="888888"/>
        <w:sz w:val="18"/>
        <w:szCs w:val="18"/>
      </w:rPr>
      <w:t xml:space="preserve">Global Admissions Performance </w:t>
    </w:r>
    <w:proofErr w:type="gramStart"/>
    <w:r>
      <w:rPr>
        <w:color w:val="888888"/>
        <w:sz w:val="18"/>
        <w:szCs w:val="18"/>
      </w:rPr>
      <w:t>Dashboard  |</w:t>
    </w:r>
    <w:proofErr w:type="gramEnd"/>
    <w:r>
      <w:rPr>
        <w:color w:val="888888"/>
        <w:sz w:val="18"/>
        <w:szCs w:val="18"/>
      </w:rPr>
      <w:t xml:space="preserve">  Dashboard Design </w:t>
    </w:r>
    <w:proofErr w:type="gramStart"/>
    <w:r>
      <w:rPr>
        <w:color w:val="888888"/>
        <w:sz w:val="18"/>
        <w:szCs w:val="18"/>
      </w:rPr>
      <w:t>Documentation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1478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7850D" w14:textId="77777777" w:rsidR="00E155B9" w:rsidRDefault="00E155B9">
      <w:r>
        <w:separator/>
      </w:r>
    </w:p>
  </w:footnote>
  <w:footnote w:type="continuationSeparator" w:id="0">
    <w:p w14:paraId="6B686842" w14:textId="77777777" w:rsidR="00E155B9" w:rsidRDefault="00E155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064D8"/>
    <w:multiLevelType w:val="hybridMultilevel"/>
    <w:tmpl w:val="DCB801DE"/>
    <w:lvl w:ilvl="0" w:tplc="0CAC63E6">
      <w:start w:val="1"/>
      <w:numFmt w:val="bullet"/>
      <w:lvlText w:val="•"/>
      <w:lvlJc w:val="left"/>
      <w:pPr>
        <w:ind w:left="720" w:hanging="360"/>
      </w:pPr>
    </w:lvl>
    <w:lvl w:ilvl="1" w:tplc="C868D2CC">
      <w:numFmt w:val="decimal"/>
      <w:lvlText w:val=""/>
      <w:lvlJc w:val="left"/>
    </w:lvl>
    <w:lvl w:ilvl="2" w:tplc="6EB8ED20">
      <w:numFmt w:val="decimal"/>
      <w:lvlText w:val=""/>
      <w:lvlJc w:val="left"/>
    </w:lvl>
    <w:lvl w:ilvl="3" w:tplc="9C40CD08">
      <w:numFmt w:val="decimal"/>
      <w:lvlText w:val=""/>
      <w:lvlJc w:val="left"/>
    </w:lvl>
    <w:lvl w:ilvl="4" w:tplc="219CBDAC">
      <w:numFmt w:val="decimal"/>
      <w:lvlText w:val=""/>
      <w:lvlJc w:val="left"/>
    </w:lvl>
    <w:lvl w:ilvl="5" w:tplc="1628715A">
      <w:numFmt w:val="decimal"/>
      <w:lvlText w:val=""/>
      <w:lvlJc w:val="left"/>
    </w:lvl>
    <w:lvl w:ilvl="6" w:tplc="1CA8A10C">
      <w:numFmt w:val="decimal"/>
      <w:lvlText w:val=""/>
      <w:lvlJc w:val="left"/>
    </w:lvl>
    <w:lvl w:ilvl="7" w:tplc="B1AA71F0">
      <w:numFmt w:val="decimal"/>
      <w:lvlText w:val=""/>
      <w:lvlJc w:val="left"/>
    </w:lvl>
    <w:lvl w:ilvl="8" w:tplc="8F4CFAC4">
      <w:numFmt w:val="decimal"/>
      <w:lvlText w:val=""/>
      <w:lvlJc w:val="left"/>
    </w:lvl>
  </w:abstractNum>
  <w:abstractNum w:abstractNumId="1" w15:restartNumberingAfterBreak="0">
    <w:nsid w:val="588E1345"/>
    <w:multiLevelType w:val="hybridMultilevel"/>
    <w:tmpl w:val="2510367C"/>
    <w:lvl w:ilvl="0" w:tplc="8A3A409C">
      <w:start w:val="1"/>
      <w:numFmt w:val="bullet"/>
      <w:lvlText w:val="●"/>
      <w:lvlJc w:val="left"/>
      <w:pPr>
        <w:ind w:left="720" w:hanging="360"/>
      </w:pPr>
    </w:lvl>
    <w:lvl w:ilvl="1" w:tplc="FD3EECC6">
      <w:start w:val="1"/>
      <w:numFmt w:val="bullet"/>
      <w:lvlText w:val="○"/>
      <w:lvlJc w:val="left"/>
      <w:pPr>
        <w:ind w:left="1440" w:hanging="360"/>
      </w:pPr>
    </w:lvl>
    <w:lvl w:ilvl="2" w:tplc="19AA0BB0">
      <w:start w:val="1"/>
      <w:numFmt w:val="bullet"/>
      <w:lvlText w:val="■"/>
      <w:lvlJc w:val="left"/>
      <w:pPr>
        <w:ind w:left="2160" w:hanging="360"/>
      </w:pPr>
    </w:lvl>
    <w:lvl w:ilvl="3" w:tplc="C66E1CF8">
      <w:start w:val="1"/>
      <w:numFmt w:val="bullet"/>
      <w:lvlText w:val="●"/>
      <w:lvlJc w:val="left"/>
      <w:pPr>
        <w:ind w:left="2880" w:hanging="360"/>
      </w:pPr>
    </w:lvl>
    <w:lvl w:ilvl="4" w:tplc="C0CA85A2">
      <w:start w:val="1"/>
      <w:numFmt w:val="bullet"/>
      <w:lvlText w:val="○"/>
      <w:lvlJc w:val="left"/>
      <w:pPr>
        <w:ind w:left="3600" w:hanging="360"/>
      </w:pPr>
    </w:lvl>
    <w:lvl w:ilvl="5" w:tplc="147C172E">
      <w:start w:val="1"/>
      <w:numFmt w:val="bullet"/>
      <w:lvlText w:val="■"/>
      <w:lvlJc w:val="left"/>
      <w:pPr>
        <w:ind w:left="4320" w:hanging="360"/>
      </w:pPr>
    </w:lvl>
    <w:lvl w:ilvl="6" w:tplc="8AA2F120">
      <w:start w:val="1"/>
      <w:numFmt w:val="bullet"/>
      <w:lvlText w:val="●"/>
      <w:lvlJc w:val="left"/>
      <w:pPr>
        <w:ind w:left="5040" w:hanging="360"/>
      </w:pPr>
    </w:lvl>
    <w:lvl w:ilvl="7" w:tplc="1D8E23EC">
      <w:start w:val="1"/>
      <w:numFmt w:val="bullet"/>
      <w:lvlText w:val="●"/>
      <w:lvlJc w:val="left"/>
      <w:pPr>
        <w:ind w:left="5760" w:hanging="360"/>
      </w:pPr>
    </w:lvl>
    <w:lvl w:ilvl="8" w:tplc="9284476A">
      <w:start w:val="1"/>
      <w:numFmt w:val="bullet"/>
      <w:lvlText w:val="●"/>
      <w:lvlJc w:val="left"/>
      <w:pPr>
        <w:ind w:left="6480" w:hanging="360"/>
      </w:pPr>
    </w:lvl>
  </w:abstractNum>
  <w:num w:numId="1" w16cid:durableId="1393499685">
    <w:abstractNumId w:val="1"/>
    <w:lvlOverride w:ilvl="0">
      <w:startOverride w:val="1"/>
    </w:lvlOverride>
  </w:num>
  <w:num w:numId="2" w16cid:durableId="1935899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422"/>
    <w:rsid w:val="00142753"/>
    <w:rsid w:val="001D0D66"/>
    <w:rsid w:val="003308F0"/>
    <w:rsid w:val="00505E3A"/>
    <w:rsid w:val="007F08A1"/>
    <w:rsid w:val="00814787"/>
    <w:rsid w:val="00863F48"/>
    <w:rsid w:val="00A113E1"/>
    <w:rsid w:val="00B55BE9"/>
    <w:rsid w:val="00B57101"/>
    <w:rsid w:val="00BD6965"/>
    <w:rsid w:val="00CD4C42"/>
    <w:rsid w:val="00D30E01"/>
    <w:rsid w:val="00DE4422"/>
    <w:rsid w:val="00E15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C0518"/>
  <w15:docId w15:val="{3D33B573-AB7F-4FA6-A5B7-BC893D5AE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5A800"/>
      <w:sz w:val="30"/>
      <w:szCs w:val="30"/>
    </w:rPr>
  </w:style>
  <w:style w:type="paragraph" w:styleId="Heading2">
    <w:name w:val="heading 2"/>
    <w:uiPriority w:val="9"/>
    <w:unhideWhenUsed/>
    <w:qFormat/>
    <w:pPr>
      <w:spacing w:before="240" w:after="8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42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ookerstudio.google.com/reporting/8711e03e-47b6-4cbf-8e31-e2f3d50fb9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1536</Words>
  <Characters>8760</Characters>
  <Application>Microsoft Office Word</Application>
  <DocSecurity>0</DocSecurity>
  <Lines>73</Lines>
  <Paragraphs>20</Paragraphs>
  <ScaleCrop>false</ScaleCrop>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 Maurya</cp:lastModifiedBy>
  <cp:revision>11</cp:revision>
  <dcterms:created xsi:type="dcterms:W3CDTF">2026-02-21T14:19:00Z</dcterms:created>
  <dcterms:modified xsi:type="dcterms:W3CDTF">2026-02-21T14:50:00Z</dcterms:modified>
</cp:coreProperties>
</file>