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02C57"/>
          <w:sz w:val="44"/>
        </w:rPr>
        <w:t>AI Financial Controller: Comprehensive Start &amp; Run Guide</w:t>
      </w:r>
    </w:p>
    <w:p>
      <w:pPr>
        <w:spacing w:after="320"/>
      </w:pPr>
      <w:r>
        <w:rPr>
          <w:i/>
          <w:color w:val="505050"/>
          <w:sz w:val="24"/>
        </w:rPr>
        <w:t>Autonomous Three-Way Financial Reconciliation &amp; AI Financial Controller Platform</w:t>
      </w:r>
    </w:p>
    <w:p>
      <w:pPr>
        <w:spacing w:before="280" w:after="80"/>
      </w:pPr>
      <w:r>
        <w:rPr>
          <w:b/>
          <w:color w:val="102C57"/>
          <w:sz w:val="30"/>
        </w:rPr>
        <w:t>1. System Architecture &amp; Prerequisites</w:t>
      </w:r>
    </w:p>
    <w:p>
      <w:r>
        <w:t>The AI Financial Controller is an enterprise-grade platform built on FastAPI, SQLite/PostgreSQL, Redis optional caching/locking layer, and a Vanilla CSS/JS glassmorphic single-page frontend. It performs 3-way reconciliation across Payment Gateways, Bank Statements, and General Ledger ERPs.</w:t>
      </w:r>
    </w:p>
    <w:p>
      <w:pPr>
        <w:pStyle w:val="ListBullet"/>
        <w:spacing w:after="40"/>
      </w:pPr>
      <w:r>
        <w:rPr>
          <w:b/>
        </w:rPr>
        <w:t xml:space="preserve">Python Runtime: </w:t>
      </w:r>
      <w:r>
        <w:t>Python 3.10, 3.11, 3.12, 3.13, or 3.14.</w:t>
      </w:r>
    </w:p>
    <w:p>
      <w:pPr>
        <w:pStyle w:val="ListBullet"/>
        <w:spacing w:after="40"/>
      </w:pPr>
      <w:r>
        <w:rPr>
          <w:b/>
        </w:rPr>
        <w:t xml:space="preserve">Web Browser: </w:t>
      </w:r>
      <w:r>
        <w:t>Modern browser (Chrome, Edge, Firefox, Safari).</w:t>
      </w:r>
    </w:p>
    <w:p>
      <w:pPr>
        <w:pStyle w:val="ListBullet"/>
        <w:spacing w:after="40"/>
      </w:pPr>
      <w:r>
        <w:rPr>
          <w:b/>
        </w:rPr>
        <w:t xml:space="preserve">Redis (Optional): </w:t>
      </w:r>
      <w:r>
        <w:t>Used for distributed locking and caching. If absent, the app fails open gracefully.</w:t>
      </w:r>
    </w:p>
    <w:p>
      <w:pPr>
        <w:spacing w:before="280" w:after="80"/>
      </w:pPr>
      <w:r>
        <w:rPr>
          <w:b/>
          <w:color w:val="102C57"/>
          <w:sz w:val="30"/>
        </w:rPr>
        <w:t>2. Environment Configuration (.env)</w:t>
      </w:r>
    </w:p>
    <w:p>
      <w:r>
        <w:t>The application reads configuration from the .env file in the workspace root. Key parameters include:</w:t>
      </w:r>
    </w:p>
    <w:p>
      <w:pPr>
        <w:pStyle w:val="ListBullet"/>
        <w:spacing w:after="40"/>
      </w:pPr>
      <w:r>
        <w:rPr>
          <w:b/>
        </w:rPr>
        <w:t xml:space="preserve">GEMINI_API_KEY: </w:t>
      </w:r>
      <w:r>
        <w:t>Google GenAI API key for the AI Financial Investigator chatbot and exception root-cause engine.</w:t>
      </w:r>
    </w:p>
    <w:p>
      <w:pPr>
        <w:pStyle w:val="ListBullet"/>
        <w:spacing w:after="40"/>
      </w:pPr>
      <w:r>
        <w:rPr>
          <w:b/>
        </w:rPr>
        <w:t xml:space="preserve">DATABASE_URL: </w:t>
      </w:r>
      <w:r>
        <w:t>Database connection string (default: sqlite:///./finance_controller.db).</w:t>
      </w:r>
    </w:p>
    <w:p>
      <w:pPr>
        <w:pStyle w:val="ListBullet"/>
        <w:spacing w:after="40"/>
      </w:pPr>
      <w:r>
        <w:rPr>
          <w:b/>
        </w:rPr>
        <w:t xml:space="preserve">REDIS_ENABLED &amp; REDIS_URL: </w:t>
      </w:r>
      <w:r>
        <w:t>Optional Redis caching &amp; distributed locking (default: redis://localhost:6379/0).</w:t>
      </w:r>
    </w:p>
    <w:p>
      <w:pPr>
        <w:pStyle w:val="ListBullet"/>
        <w:spacing w:after="40"/>
      </w:pPr>
      <w:r>
        <w:rPr>
          <w:b/>
        </w:rPr>
        <w:t xml:space="preserve">SECRET_KEY: </w:t>
      </w:r>
      <w:r>
        <w:t>JWT signing secret key for authentication.</w:t>
      </w:r>
    </w:p>
    <w:p>
      <w:pPr>
        <w:spacing w:before="280" w:after="80"/>
      </w:pPr>
      <w:r>
        <w:rPr>
          <w:b/>
          <w:color w:val="102C57"/>
          <w:sz w:val="30"/>
        </w:rPr>
        <w:t>3. Step-by-Step Guide to Start the Application</w:t>
      </w:r>
    </w:p>
    <w:p>
      <w:pPr>
        <w:spacing w:before="200" w:after="40"/>
      </w:pPr>
      <w:r>
        <w:rPr>
          <w:b/>
          <w:color w:val="1E4682"/>
          <w:sz w:val="24"/>
        </w:rPr>
        <w:t>Step 1: Open the Project Directory</w:t>
      </w:r>
    </w:p>
    <w:p>
      <w:pPr>
        <w:spacing w:before="80" w:after="120"/>
        <w:ind w:left="288"/>
      </w:pPr>
      <w:r>
        <w:rPr>
          <w:rFonts w:ascii="Consolas" w:hAnsi="Consolas"/>
          <w:color w:val="1E1E1E"/>
          <w:sz w:val="19"/>
        </w:rPr>
        <w:t>cd "d:\AI Finance controller"</w:t>
      </w:r>
    </w:p>
    <w:p>
      <w:pPr>
        <w:spacing w:before="200" w:after="40"/>
      </w:pPr>
      <w:r>
        <w:rPr>
          <w:b/>
          <w:color w:val="1E4682"/>
          <w:sz w:val="24"/>
        </w:rPr>
        <w:t>Step 2: Activate the Virtual Environment</w:t>
      </w:r>
    </w:p>
    <w:p>
      <w:pPr>
        <w:pStyle w:val="ListBullet"/>
        <w:spacing w:after="40"/>
      </w:pPr>
      <w:r>
        <w:rPr>
          <w:b/>
        </w:rPr>
        <w:t xml:space="preserve">Windows (PowerShell): </w:t>
      </w:r>
      <w:r>
        <w:t>.\.venv\Scripts\Activate.ps1</w:t>
      </w:r>
    </w:p>
    <w:p>
      <w:pPr>
        <w:pStyle w:val="ListBullet"/>
        <w:spacing w:after="40"/>
      </w:pPr>
      <w:r>
        <w:rPr>
          <w:b/>
        </w:rPr>
        <w:t xml:space="preserve">Windows (Command Prompt): </w:t>
      </w:r>
      <w:r>
        <w:t>.\.venv\Scripts\activate.bat</w:t>
      </w:r>
    </w:p>
    <w:p>
      <w:pPr>
        <w:pStyle w:val="ListBullet"/>
        <w:spacing w:after="40"/>
      </w:pPr>
      <w:r>
        <w:rPr>
          <w:b/>
        </w:rPr>
        <w:t xml:space="preserve">macOS / Linux: </w:t>
      </w:r>
      <w:r>
        <w:t>source .venv/bin/activate</w:t>
      </w:r>
    </w:p>
    <w:p>
      <w:pPr>
        <w:spacing w:before="200" w:after="40"/>
      </w:pPr>
      <w:r>
        <w:rPr>
          <w:b/>
          <w:color w:val="1E4682"/>
          <w:sz w:val="24"/>
        </w:rPr>
        <w:t>Step 3: Install Dependencies (if not already installed)</w:t>
      </w:r>
    </w:p>
    <w:p>
      <w:pPr>
        <w:spacing w:before="80" w:after="120"/>
        <w:ind w:left="288"/>
      </w:pPr>
      <w:r>
        <w:rPr>
          <w:rFonts w:ascii="Consolas" w:hAnsi="Consolas"/>
          <w:color w:val="1E1E1E"/>
          <w:sz w:val="19"/>
        </w:rPr>
        <w:t>pip install -r backend/requirements.txt</w:t>
      </w:r>
    </w:p>
    <w:p>
      <w:pPr>
        <w:spacing w:before="200" w:after="40"/>
      </w:pPr>
      <w:r>
        <w:rPr>
          <w:b/>
          <w:color w:val="1E4682"/>
          <w:sz w:val="24"/>
        </w:rPr>
        <w:t>Step 4: Start the FastAPI Application Server</w:t>
      </w:r>
    </w:p>
    <w:p>
      <w:pPr>
        <w:spacing w:before="80" w:after="120"/>
        <w:ind w:left="288"/>
      </w:pPr>
      <w:r>
        <w:rPr>
          <w:rFonts w:ascii="Consolas" w:hAnsi="Consolas"/>
          <w:color w:val="1E1E1E"/>
          <w:sz w:val="19"/>
        </w:rPr>
        <w:t>python -m uvicorn app.main:app --host 127.0.0.1 --port 8000 --app-dir backend --reload</w:t>
      </w:r>
    </w:p>
    <w:p>
      <w:pPr>
        <w:spacing w:before="200" w:after="40"/>
      </w:pPr>
      <w:r>
        <w:rPr>
          <w:b/>
          <w:color w:val="1E4682"/>
          <w:sz w:val="24"/>
        </w:rPr>
        <w:t>Step 5: Open the Web UI in Your Browser</w:t>
      </w:r>
    </w:p>
    <w:p>
      <w:r>
        <w:t>Navigate to: http://127.0.0.1:8000/</w:t>
      </w:r>
    </w:p>
    <w:p>
      <w:pPr>
        <w:spacing w:before="280" w:after="80"/>
      </w:pPr>
      <w:r>
        <w:rPr>
          <w:b/>
          <w:color w:val="102C57"/>
          <w:sz w:val="30"/>
        </w:rPr>
        <w:t>4. Pre-Seeded User Accounts &amp; RBAC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Permissions</w:t>
            </w:r>
          </w:p>
        </w:tc>
      </w:tr>
      <w:tr>
        <w:tc>
          <w:tcPr>
            <w:tcW w:type="dxa" w:w="2484"/>
          </w:tcPr>
          <w:p>
            <w:r>
              <w:t>Financial Controller (Admin)</w:t>
            </w:r>
          </w:p>
        </w:tc>
        <w:tc>
          <w:tcPr>
            <w:tcW w:type="dxa" w:w="2484"/>
          </w:tcPr>
          <w:p>
            <w:r>
              <w:t>admin@acme.co</w:t>
            </w:r>
          </w:p>
        </w:tc>
        <w:tc>
          <w:tcPr>
            <w:tcW w:type="dxa" w:w="2484"/>
          </w:tcPr>
          <w:p>
            <w:r>
              <w:t>admin123</w:t>
            </w:r>
          </w:p>
        </w:tc>
        <w:tc>
          <w:tcPr>
            <w:tcW w:type="dxa" w:w="2484"/>
          </w:tcPr>
          <w:p>
            <w:r>
              <w:t>Full system access, audit chain inspection, all approvals</w:t>
            </w:r>
          </w:p>
        </w:tc>
      </w:tr>
      <w:tr>
        <w:tc>
          <w:tcPr>
            <w:tcW w:type="dxa" w:w="2484"/>
          </w:tcPr>
          <w:p>
            <w:r>
              <w:t>Financial Approver (Checker)</w:t>
            </w:r>
          </w:p>
        </w:tc>
        <w:tc>
          <w:tcPr>
            <w:tcW w:type="dxa" w:w="2484"/>
          </w:tcPr>
          <w:p>
            <w:r>
              <w:t>approver@acme.co</w:t>
            </w:r>
          </w:p>
        </w:tc>
        <w:tc>
          <w:tcPr>
            <w:tcW w:type="dxa" w:w="2484"/>
          </w:tcPr>
          <w:p>
            <w:r>
              <w:t>approver123</w:t>
            </w:r>
          </w:p>
        </w:tc>
        <w:tc>
          <w:tcPr>
            <w:tcW w:type="dxa" w:w="2484"/>
          </w:tcPr>
          <w:p>
            <w:r>
              <w:t>Maker-Checker dual-control sign-off on journal vouchers</w:t>
            </w:r>
          </w:p>
        </w:tc>
      </w:tr>
      <w:tr>
        <w:tc>
          <w:tcPr>
            <w:tcW w:type="dxa" w:w="2484"/>
          </w:tcPr>
          <w:p>
            <w:r>
              <w:t>Reconciliation Analyst (Maker)</w:t>
            </w:r>
          </w:p>
        </w:tc>
        <w:tc>
          <w:tcPr>
            <w:tcW w:type="dxa" w:w="2484"/>
          </w:tcPr>
          <w:p>
            <w:r>
              <w:t>analyst@acme.co</w:t>
            </w:r>
          </w:p>
        </w:tc>
        <w:tc>
          <w:tcPr>
            <w:tcW w:type="dxa" w:w="2484"/>
          </w:tcPr>
          <w:p>
            <w:r>
              <w:t>analyst123</w:t>
            </w:r>
          </w:p>
        </w:tc>
        <w:tc>
          <w:tcPr>
            <w:tcW w:type="dxa" w:w="2484"/>
          </w:tcPr>
          <w:p>
            <w:r>
              <w:t>Upload CSVs, trigger batch runs, draft proposals</w:t>
            </w:r>
          </w:p>
        </w:tc>
      </w:tr>
    </w:tbl>
    <w:p>
      <w:pPr>
        <w:spacing w:before="280" w:after="80"/>
      </w:pPr>
      <w:r>
        <w:rPr>
          <w:b/>
          <w:color w:val="102C57"/>
          <w:sz w:val="30"/>
        </w:rPr>
        <w:t>5. Application Modules &amp; UI Navigation</w:t>
      </w:r>
    </w:p>
    <w:p>
      <w:pPr>
        <w:pStyle w:val="ListBullet"/>
        <w:spacing w:after="40"/>
      </w:pPr>
      <w:r>
        <w:rPr>
          <w:b/>
        </w:rPr>
        <w:t xml:space="preserve">Executive Dashboard: </w:t>
      </w:r>
      <w:r>
        <w:t>High-level KPIs, Match Rate %, Precision/Recall calibrations, and 13-Week Cash Forecast.</w:t>
      </w:r>
    </w:p>
    <w:p>
      <w:pPr>
        <w:pStyle w:val="ListBullet"/>
        <w:spacing w:after="40"/>
      </w:pPr>
      <w:r>
        <w:rPr>
          <w:b/>
        </w:rPr>
        <w:t xml:space="preserve">Batch Windows: </w:t>
      </w:r>
      <w:r>
        <w:t>Sliding 10-window batch execution with exact period boundary metadata.</w:t>
      </w:r>
    </w:p>
    <w:p>
      <w:pPr>
        <w:pStyle w:val="ListBullet"/>
        <w:spacing w:after="40"/>
      </w:pPr>
      <w:r>
        <w:rPr>
          <w:b/>
        </w:rPr>
        <w:t xml:space="preserve">Reconciliation Explorer: </w:t>
      </w:r>
      <w:r>
        <w:t>3-way comparison grid with Tier 1 Exact vs Tier 2 Contextual filtering.</w:t>
      </w:r>
    </w:p>
    <w:p>
      <w:pPr>
        <w:pStyle w:val="ListBullet"/>
        <w:spacing w:after="40"/>
      </w:pPr>
      <w:r>
        <w:rPr>
          <w:b/>
        </w:rPr>
        <w:t xml:space="preserve">Exception Center: </w:t>
      </w:r>
      <w:r>
        <w:t>16-type exception breakdown with interactive AI root-cause investigation drawer.</w:t>
      </w:r>
    </w:p>
    <w:p>
      <w:pPr>
        <w:pStyle w:val="ListBullet"/>
        <w:spacing w:after="40"/>
      </w:pPr>
      <w:r>
        <w:rPr>
          <w:b/>
        </w:rPr>
        <w:t xml:space="preserve">Maker-Checker Queue: </w:t>
      </w:r>
      <w:r>
        <w:t>Segregation of duties workflow for reviewing and approving journal adjustment vouchers.</w:t>
      </w:r>
    </w:p>
    <w:p>
      <w:pPr>
        <w:pStyle w:val="ListBullet"/>
        <w:spacing w:after="40"/>
      </w:pPr>
      <w:r>
        <w:rPr>
          <w:b/>
        </w:rPr>
        <w:t xml:space="preserve">Cryptographic Audit Trail: </w:t>
      </w:r>
      <w:r>
        <w:t>Sequential SHA-256 block hash chain with instant tamper-detection verification.</w:t>
      </w:r>
    </w:p>
    <w:p>
      <w:pPr>
        <w:pStyle w:val="ListBullet"/>
        <w:spacing w:after="40"/>
      </w:pPr>
      <w:r>
        <w:rPr>
          <w:b/>
        </w:rPr>
        <w:t xml:space="preserve">AI Financial Investigator: </w:t>
      </w:r>
      <w:r>
        <w:t>Interactive AI chatbot answering specific invoice questions, cutoff timing, and fee splits.</w:t>
      </w:r>
    </w:p>
    <w:p>
      <w:pPr>
        <w:pStyle w:val="ListBullet"/>
        <w:spacing w:after="40"/>
      </w:pPr>
      <w:r>
        <w:rPr>
          <w:b/>
        </w:rPr>
        <w:t xml:space="preserve">Multi-Source Ingestion: </w:t>
      </w:r>
      <w:r>
        <w:t>Drag-and-drop CSV upload for custom Gateway, Bank, and ERP ledger files.</w:t>
      </w:r>
    </w:p>
    <w:p>
      <w:pPr>
        <w:spacing w:before="280" w:after="80"/>
      </w:pPr>
      <w:r>
        <w:rPr>
          <w:b/>
          <w:color w:val="102C57"/>
          <w:sz w:val="30"/>
        </w:rPr>
        <w:t>6. Running Automated Tests</w:t>
      </w:r>
    </w:p>
    <w:p>
      <w:r>
        <w:t>To run the comprehensive 16-test unit and integration test suite:</w:t>
      </w:r>
    </w:p>
    <w:p>
      <w:pPr>
        <w:spacing w:before="80" w:after="120"/>
        <w:ind w:left="288"/>
      </w:pPr>
      <w:r>
        <w:rPr>
          <w:rFonts w:ascii="Consolas" w:hAnsi="Consolas"/>
          <w:color w:val="1E1E1E"/>
          <w:sz w:val="19"/>
        </w:rPr>
        <w:t>$env:PYTHONIOENCODING="utf-8"; python -m unittest backend/tests/test_pipeline.py -v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