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color w:val="17365D"/>
          <w:sz w:val="48"/>
        </w:rPr>
        <w:t>Backend &amp; Frontend Integration Audit</w:t>
      </w:r>
    </w:p>
    <w:p>
      <w:pPr>
        <w:jc w:val="center"/>
      </w:pPr>
      <w:r>
        <w:rPr>
          <w:i/>
          <w:color w:val="595959"/>
          <w:sz w:val="22"/>
        </w:rPr>
        <w:t>AI Financial Controller | Evidence-based implementation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Audit scope</w:t>
            </w:r>
          </w:p>
        </w:tc>
        <w:tc>
          <w:tcPr>
            <w:tcW w:type="dxa" w:w="6696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Plan reviewed</w:t>
            </w:r>
          </w:p>
        </w:tc>
        <w:tc>
          <w:tcPr>
            <w:tcW w:type="dxa" w:w="6696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docs/00-product-and-scope.md through 08-deployment-and-execution-plan.md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Implementation reviewed</w:t>
            </w:r>
          </w:p>
        </w:tc>
        <w:tc>
          <w:tcPr>
            <w:tcW w:type="dxa" w:w="6696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FastAPI backend, reconciliation/services, database layer, API routes, and static frontend integration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Test evidence</w:t>
            </w:r>
          </w:p>
        </w:tc>
        <w:tc>
          <w:tcPr>
            <w:tcW w:type="dxa" w:w="6696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15 unit tests run: 11 passed, 4 skipped; live FastAPI TestClient batch run; static integration review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Audit conclusion</w:t>
            </w:r>
          </w:p>
        </w:tc>
        <w:tc>
          <w:tcPr>
            <w:tcW w:type="dxa" w:w="6696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Not ready for finance use or for truthful benchmark claims. It is a functioning prototype with real components, but critical logic, controls, metrics, and UI/API alignment are incomplete.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Executive conclusion</w:t>
      </w:r>
    </w:p>
    <w:p>
      <w:pPr>
        <w:spacing w:after="120" w:line="264" w:lineRule="auto"/>
      </w:pPr>
      <w:r>
        <w:t>The repository is not merely a static mock: it contains working CSV ingestion, canonicalisation, provenance hashes, exact-reference matching, a Hungarian assignment routine, SQLite persistence, JWT/Argon2 primitives, approval endpoints, and a hash-chain verifier. The supplied automated tests also exercise a meaningful subset of those components.</w:t>
      </w:r>
    </w:p>
    <w:p>
      <w:pPr>
        <w:spacing w:after="120" w:line="264" w:lineRule="auto"/>
      </w:pPr>
      <w:r>
        <w:t>However, the delivered backend does not meet the stated plan for a three-way, settlement-aware, auditable controller. The N:1 settlement solver promised as the core differentiator is absent from the executable matching pipeline. The actual matching safeguards do not protect accounting semantics, quality metrics are hard-coded, the active UI path intentionally sends a mock mode and then presents fixed success language, and default authentication is open. The live fixture result was 1 matched record of 64 (1.56%), while the same response reported a fixed “verified_accuracy” of 98.5%.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Overall rating</w:t>
            </w:r>
          </w:p>
        </w:tc>
        <w:tc>
          <w:tcPr>
            <w:tcW w:type="dxa" w:w="662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c>
          <w:tcPr>
            <w:tcW w:type="dxa" w:w="259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Core implementation</w:t>
            </w:r>
          </w:p>
        </w:tc>
        <w:tc>
          <w:tcPr>
            <w:tcW w:type="dxa" w:w="662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2.5 / 5 - useful prototype building blocks, but financial semantics and settlement logic are incomplete.</w:t>
            </w:r>
          </w:p>
        </w:tc>
      </w:tr>
      <w:tr>
        <w:tc>
          <w:tcPr>
            <w:tcW w:type="dxa" w:w="259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Truthfulness of metrics</w:t>
            </w:r>
          </w:p>
        </w:tc>
        <w:tc>
          <w:tcPr>
            <w:tcW w:type="dxa" w:w="662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0.5 / 5 - headline accuracy/risk/depth values are constants, not measured.</w:t>
            </w:r>
          </w:p>
        </w:tc>
      </w:tr>
      <w:tr>
        <w:tc>
          <w:tcPr>
            <w:tcW w:type="dxa" w:w="259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Frontend-backend integration</w:t>
            </w:r>
          </w:p>
        </w:tc>
        <w:tc>
          <w:tcPr>
            <w:tcW w:type="dxa" w:w="662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1.5 / 5 - upload path exists, but default/sample workflow uses a mock mode, swallows errors, and filters incompatible status values.</w:t>
            </w:r>
          </w:p>
        </w:tc>
      </w:tr>
      <w:tr>
        <w:tc>
          <w:tcPr>
            <w:tcW w:type="dxa" w:w="259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Security and operational readiness</w:t>
            </w:r>
          </w:p>
        </w:tc>
        <w:tc>
          <w:tcPr>
            <w:tcW w:type="dxa" w:w="662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 / 5 - development defaults and deployment artifacts prevent safe production operation.</w:t>
            </w:r>
          </w:p>
        </w:tc>
      </w:tr>
      <w:tr>
        <w:tc>
          <w:tcPr>
            <w:tcW w:type="dxa" w:w="259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Release decision</w:t>
            </w:r>
          </w:p>
        </w:tc>
        <w:tc>
          <w:tcPr>
            <w:tcW w:type="dxa" w:w="662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BLOCK. Fix all Critical and High findings and re-run a ground-truth evaluation before any finance-facing demonstration.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What was tested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76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87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Outcome</w:t>
            </w:r>
          </w:p>
        </w:tc>
        <w:tc>
          <w:tcPr>
            <w:tcW w:type="dxa" w:w="4968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Interpretation</w:t>
            </w:r>
          </w:p>
        </w:tc>
      </w:tr>
      <w:tr>
        <w:tc>
          <w:tcPr>
            <w:tcW w:type="dxa" w:w="2376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Backend unit suite</w:t>
            </w:r>
          </w:p>
        </w:tc>
        <w:tc>
          <w:tcPr>
            <w:tcW w:type="dxa" w:w="187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11 passed; 4 Redis tests skipped because fakeredis is unavailable.</w:t>
            </w:r>
          </w:p>
        </w:tc>
        <w:tc>
          <w:tcPr>
            <w:tcW w:type="dxa" w:w="4968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Core unit cases pass, but the test suite is narrow and does not prove the planned benchmark.</w:t>
            </w:r>
          </w:p>
        </w:tc>
      </w:tr>
      <w:tr>
        <w:tc>
          <w:tcPr>
            <w:tcW w:type="dxa" w:w="2376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Application import (system Python 3.14)</w:t>
            </w:r>
          </w:p>
        </w:tc>
        <w:tc>
          <w:tcPr>
            <w:tcW w:type="dxa" w:w="187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Pass: FastAPI app exposes 29 routes.</w:t>
            </w:r>
          </w:p>
        </w:tc>
        <w:tc>
          <w:tcPr>
            <w:tcW w:type="dxa" w:w="4968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The locally installed runtime can start the app.</w:t>
            </w:r>
          </w:p>
        </w:tc>
      </w:tr>
      <w:tr>
        <w:tc>
          <w:tcPr>
            <w:tcW w:type="dxa" w:w="2376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Application import (bundled document runtime)</w:t>
            </w:r>
          </w:p>
        </w:tc>
        <w:tc>
          <w:tcPr>
            <w:tcW w:type="dxa" w:w="187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Fail: NormalizerService annotation raises NameError for missing Tuple.</w:t>
            </w:r>
          </w:p>
        </w:tc>
        <w:tc>
          <w:tcPr>
            <w:tcW w:type="dxa" w:w="4968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Environment/runtime compatibility issue; add Tuple import and test the supported deployment interpreter.</w:t>
            </w:r>
          </w:p>
        </w:tc>
      </w:tr>
      <w:tr>
        <w:tc>
          <w:tcPr>
            <w:tcW w:type="dxa" w:w="2376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Live batch API against repository fixtures</w:t>
            </w:r>
          </w:p>
        </w:tc>
        <w:tc>
          <w:tcPr>
            <w:tcW w:type="dxa" w:w="187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HTTP 200; 64 normalized rows; 1 match; 63 exceptions; match rate 0.0156.</w:t>
            </w:r>
          </w:p>
        </w:tc>
        <w:tc>
          <w:tcPr>
            <w:tcW w:type="dxa" w:w="4968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The endpoint executes real ingestion and persistence, but reconciliation performance on its own fixture is materially below the plan.</w:t>
            </w:r>
          </w:p>
        </w:tc>
      </w:tr>
      <w:tr>
        <w:tc>
          <w:tcPr>
            <w:tcW w:type="dxa" w:w="2376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Static frontend/API tracing</w:t>
            </w:r>
          </w:p>
        </w:tc>
        <w:tc>
          <w:tcPr>
            <w:tcW w:type="dxa" w:w="187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Multiple contract mismatches and mock fallback behaviours found.</w:t>
            </w:r>
          </w:p>
        </w:tc>
        <w:tc>
          <w:tcPr>
            <w:tcW w:type="dxa" w:w="4968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The interface can display misleading results even where the backend reports failure or different values.</w:t>
            </w:r>
          </w:p>
        </w:tc>
      </w:tr>
      <w:tr>
        <w:tc>
          <w:tcPr>
            <w:tcW w:type="dxa" w:w="2376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Deployment configuration check</w:t>
            </w:r>
          </w:p>
        </w:tc>
        <w:tc>
          <w:tcPr>
            <w:tcW w:type="dxa" w:w="187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docker-compose references backend/Dockerfile; file is absent.</w:t>
            </w:r>
          </w:p>
        </w:tc>
        <w:tc>
          <w:tcPr>
            <w:tcW w:type="dxa" w:w="4968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The advertised container deployment is not runnable as checked in.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Critical findings - fix before 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ID / severity</w:t>
            </w:r>
          </w:p>
        </w:tc>
        <w:tc>
          <w:tcPr>
            <w:tcW w:type="dxa" w:w="4608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Finding &amp; evidence</w:t>
            </w:r>
          </w:p>
        </w:tc>
        <w:tc>
          <w:tcPr>
            <w:tcW w:type="dxa" w:w="3456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Required remediation</w:t>
            </w:r>
          </w:p>
        </w:tc>
      </w:tr>
      <w:tr>
        <w:tc>
          <w:tcPr>
            <w:tcW w:type="dxa" w:w="115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C1 | Critical</w:t>
            </w:r>
          </w:p>
        </w:tc>
        <w:tc>
          <w:tcPr>
            <w:tcW w:type="dxa" w:w="4608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N:1 settlement solver is not implemented in the executed pipeline</w:t>
              <w:br/>
              <w:t>Evidence: The plan calls bounded subset-sum/DP net settlement decomposition a core differentiator. matching_engine.run_full_pipeline calls only P0, P1, P2, P3, P4 and P5. No settlement aggregation, fee-model solver, or many-to-one MatchSchema creation exists. The actual P4 is Hungarian 1:1 assignment.</w:t>
              <w:br/>
              <w:t>Location: docs/00-product-and-scope.md; backend/app/services/matching_engine.py:461-468</w:t>
            </w:r>
          </w:p>
        </w:tc>
        <w:tc>
          <w:tcPr>
            <w:tcW w:type="dxa" w:w="3456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Implement a bounded, deterministic settlement grouping/DP solver; use declared fee/tax data and configurable processor policies; produce balancing evidence; add positive, negative, and performance tests. Do not claim N:1 until evaluated.</w:t>
            </w:r>
          </w:p>
        </w:tc>
      </w:tr>
      <w:tr>
        <w:tc>
          <w:tcPr>
            <w:tcW w:type="dxa" w:w="115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C2 | Critical</w:t>
            </w:r>
          </w:p>
        </w:tc>
        <w:tc>
          <w:tcPr>
            <w:tcW w:type="dxa" w:w="4608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Reported quality metrics are fabricated</w:t>
              <w:br/>
              <w:t>Evidence: The orchestrator returns verified_accuracy=0.985, false_match_risk=0.005, and avg_investigation_depth=7.0 as constants. DatabaseService persists fixed precision, recall, F1 and ECE values. The live run reported 1.56% match rate and 98.5% verified accuracy simultaneously.</w:t>
              <w:br/>
              <w:t>Location: backend/app/services/batch_orchestrator.py:249-251; backend/app/db/database_service.py:359-363</w:t>
            </w:r>
          </w:p>
        </w:tc>
        <w:tc>
          <w:tcPr>
            <w:tcW w:type="dxa" w:w="3456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Remove constants. Only calculate precision/recall/F1/ECE from an attached, versioned ground-truth manifest. For user data, label metrics “not available” and show operational counts only.</w:t>
            </w:r>
          </w:p>
        </w:tc>
      </w:tr>
      <w:tr>
        <w:tc>
          <w:tcPr>
            <w:tcW w:type="dxa" w:w="115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C3 | Critical</w:t>
            </w:r>
          </w:p>
        </w:tc>
        <w:tc>
          <w:tcPr>
            <w:tcW w:type="dxa" w:w="4608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Unauthenticated access is treated as an approver</w:t>
              <w:br/>
              <w:t>Evidence: get_current_user returns a default approver identity whenever no bearer token is supplied. Approvals route depends on this method, so financial decisions can be invoked without authentication.</w:t>
              <w:br/>
              <w:t>Location: backend/app/core/security.py:46-54; backend/app/api/v1/approvals.py:57-66</w:t>
            </w:r>
          </w:p>
        </w:tc>
        <w:tc>
          <w:tcPr>
            <w:tcW w:type="dxa" w:w="3456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Fail closed in every non-test environment; separate test dependencies; enforce identity from signed token; authorize organization and proposal ownership; record immutable authenticated actor context.</w:t>
            </w:r>
          </w:p>
        </w:tc>
      </w:tr>
      <w:tr>
        <w:tc>
          <w:tcPr>
            <w:tcW w:type="dxa" w:w="115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C4 | Critical</w:t>
            </w:r>
          </w:p>
        </w:tc>
        <w:tc>
          <w:tcPr>
            <w:tcW w:type="dxa" w:w="4608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Sample/default UI workflow is mock-led and falsely reports success</w:t>
              <w:br/>
              <w:t>Evidence: loadSampleDataFeeds creates display-only fake files. When no actual File object exists, the frontend sends execution_mode=MOCK. It ignores HTTP failure status, catches errors, then logs that all validation passed and matching completed. Backend treats all non-USER_UPLOAD modes as local fixture processing.</w:t>
              <w:br/>
              <w:t>Location: frontend/static/js/app.js:599-611, 751-769, 772-795; backend/app/api/v1/batches.py:103-132</w:t>
            </w:r>
          </w:p>
        </w:tc>
        <w:tc>
          <w:tcPr>
            <w:tcW w:type="dxa" w:w="3456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Make sample data an explicit server-owned fixture with provenance shown as synthetic/test. Reject MOCK in production. Check response.ok and surface errors. Do not transition the UI to completed without a successful API result.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High findings - correctness, integrity, and integration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080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38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475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Evidence / remediation</w:t>
            </w:r>
          </w:p>
        </w:tc>
      </w:tr>
      <w:tr>
        <w:tc>
          <w:tcPr>
            <w:tcW w:type="dxa" w:w="1080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H1 | High</w:t>
            </w:r>
          </w:p>
        </w:tc>
        <w:tc>
          <w:tcPr>
            <w:tcW w:type="dxa" w:w="338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Accounting-semantic match gates are missing</w:t>
            </w:r>
          </w:p>
        </w:tc>
        <w:tc>
          <w:tcPr>
            <w:tcW w:type="dxa" w:w="475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P2/P3 match on overlapping reference plus absolute minor-unit equality, with no direction, debit/credit polarity, GL account, control-account, or transaction-type gate. A revenue credit can be linked to an inflow payment solely because the invoice and amount coincide. P4 also does not reject incompatible directions/accounts.</w:t>
              <w:br/>
              <w:t>Location: backend/app/services/matching_engine.py:271-326, 333-418</w:t>
              <w:br/>
              <w:t>Fix: Define allowed source-pair/leg-role matrix. Validate signed balance, source direction, GL clearing account, currency, settlement state, and date policy before candidate scoring. Add adversarial false-positive tests.</w:t>
            </w:r>
          </w:p>
        </w:tc>
      </w:tr>
      <w:tr>
        <w:tc>
          <w:tcPr>
            <w:tcW w:type="dxa" w:w="1080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H2 | High</w:t>
            </w:r>
          </w:p>
        </w:tc>
        <w:tc>
          <w:tcPr>
            <w:tcW w:type="dxa" w:w="338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“Three-way” status and match rate are not truly three-way</w:t>
            </w:r>
          </w:p>
        </w:tc>
        <w:tc>
          <w:tcPr>
            <w:tcW w:type="dxa" w:w="475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Matches are pairwise and matched_txn_ids counts any record participating in a pair. A gateway-to-ledger match can increment the rate without a bank leg. No 3-leg match graph or settlement-to-bank-to-ledger proof is built.</w:t>
              <w:br/>
              <w:t>Location: backend/app/services/matching_engine.py:461-490; backend/app/services/batch_orchestrator.py:232-238</w:t>
              <w:br/>
              <w:t>Fix: Model reconciliation groups/graphs with required legs. Publish separate pairwise, fully-three-way, and residual rates; ensure denominators are source-aware.</w:t>
            </w:r>
          </w:p>
        </w:tc>
      </w:tr>
      <w:tr>
        <w:tc>
          <w:tcPr>
            <w:tcW w:type="dxa" w:w="1080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H3 | High</w:t>
            </w:r>
          </w:p>
        </w:tc>
        <w:tc>
          <w:tcPr>
            <w:tcW w:type="dxa" w:w="338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Frontend filters do not match backend enum values</w:t>
            </w:r>
          </w:p>
        </w:tc>
        <w:tc>
          <w:tcPr>
            <w:tcW w:type="dxa" w:w="475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Backend emits source_kind GATEWAY/BANK/LEDGER and statuses such as MATCHED_EXACT, MATCHED_CONTEXTUAL and UNRESOLVED_EXCEPTION. UI filters compare lowercase gateway and status MATCHED/UNMATCHED/FLAGGED, so result categories, counts and badges can be empty or wrong.</w:t>
              <w:br/>
              <w:t>Location: backend/app/models/schemas.py:10-26; frontend/static/js/app.js:461, 520, 818-822</w:t>
              <w:br/>
              <w:t>Fix: Publish a versioned API contract and generated client/types, or normalise values at one boundary. Add browser/API contract tests covering every enum and dashboard count.</w:t>
            </w:r>
          </w:p>
        </w:tc>
      </w:tr>
      <w:tr>
        <w:tc>
          <w:tcPr>
            <w:tcW w:type="dxa" w:w="1080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H4 | High</w:t>
            </w:r>
          </w:p>
        </w:tc>
        <w:tc>
          <w:tcPr>
            <w:tcW w:type="dxa" w:w="338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Batch IDs collide and re-runs delete historical child data</w:t>
            </w:r>
          </w:p>
        </w:tc>
        <w:tc>
          <w:tcPr>
            <w:tcW w:type="dxa" w:w="475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Batch ID is date-only “BATCH-YYYYMMDD-01”; concurrent/same-day runs collide. save_batch_run deletes matches, proposals, exceptions and transactions for a rerun, which defeats immutable history.</w:t>
              <w:br/>
              <w:t>Location: backend/app/api/v1/batches.py:65,320; backend/app/db/database_service.py:165-181</w:t>
              <w:br/>
              <w:t>Fix: Use UUID/ULID run IDs and idempotency keys. Preserve immutable prior runs; explicitly version/close retries. Scope lock, progress and report records to the run ID.</w:t>
            </w:r>
          </w:p>
        </w:tc>
      </w:tr>
      <w:tr>
        <w:tc>
          <w:tcPr>
            <w:tcW w:type="dxa" w:w="1080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H5 | High</w:t>
            </w:r>
          </w:p>
        </w:tc>
        <w:tc>
          <w:tcPr>
            <w:tcW w:type="dxa" w:w="338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Audit chain is global, mutable, and not an immutable ledger</w:t>
            </w:r>
          </w:p>
        </w:tc>
        <w:tc>
          <w:tcPr>
            <w:tcW w:type="dxa" w:w="475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Audit event sequence is checked across all organizations; persistence skips an event when its sequence already exists for the org. Batch reruns delete financial children while audit records survive. This prevents a clean per-batch, append-only audit proof.</w:t>
              <w:br/>
              <w:t>Location: backend/app/db/database_service.py:326-355; backend/app/api/v1/audit.py:10-80</w:t>
              <w:br/>
              <w:t>Fix: Use DB-enforced per-org sequence and append-only permissions/triggers. Bind audit events to immutable run hashes and source manifest; verify by org and batch; never delete reconciled entities that audits reference.</w:t>
            </w:r>
          </w:p>
        </w:tc>
      </w:tr>
      <w:tr>
        <w:tc>
          <w:tcPr>
            <w:tcW w:type="dxa" w:w="1080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H6 | High</w:t>
            </w:r>
          </w:p>
        </w:tc>
        <w:tc>
          <w:tcPr>
            <w:tcW w:type="dxa" w:w="338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Deployment claim cannot be executed from repository</w:t>
            </w:r>
          </w:p>
        </w:tc>
        <w:tc>
          <w:tcPr>
            <w:tcW w:type="dxa" w:w="475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Compose references backend/Dockerfile, but neither backend/Dockerfile nor frontend/Dockerfile exists; compose has no worker/object store although the plan describes them.</w:t>
              <w:br/>
              <w:t>Location: docker-compose.yml:33-37; repository file inventory</w:t>
              <w:br/>
              <w:t>Fix: Add tested Dockerfiles, healthchecks, migrations, production secrets wiring, worker definition, object-storage policy, and a CI compose smoke test.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Medium findings and technical debt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22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67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Issue</w:t>
            </w:r>
          </w:p>
        </w:tc>
        <w:tc>
          <w:tcPr>
            <w:tcW w:type="dxa" w:w="4320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Fix</w:t>
            </w:r>
          </w:p>
        </w:tc>
      </w:tr>
      <w:tr>
        <w:tc>
          <w:tcPr>
            <w:tcW w:type="dxa" w:w="122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M1 | Medium</w:t>
            </w:r>
          </w:p>
        </w:tc>
        <w:tc>
          <w:tcPr>
            <w:tcW w:type="dxa" w:w="367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Fee logic is hard-coded to 2.0% and 1.5% plus 18% GST instead of processor/account policy. Declared fees are only a simple aggregate fallback.</w:t>
            </w:r>
          </w:p>
        </w:tc>
        <w:tc>
          <w:tcPr>
            <w:tcW w:type="dxa" w:w="4320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matching_engine.py:65-91</w:t>
              <w:br/>
              <w:t>Fix: Move fee schedules, tax jurisdiction, rounding, caps, refunds and chargeback rules to versioned policies; preserve policy ID in evidence.</w:t>
            </w:r>
          </w:p>
        </w:tc>
      </w:tr>
      <w:tr>
        <w:tc>
          <w:tcPr>
            <w:tcW w:type="dxa" w:w="122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M2 | Medium</w:t>
            </w:r>
          </w:p>
        </w:tc>
        <w:tc>
          <w:tcPr>
            <w:tcW w:type="dxa" w:w="367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Period cutoff is hard-coded to 31 August in P1 while elsewhere the UI assumes 31 March and the batch metadata is August 2026.</w:t>
            </w:r>
          </w:p>
        </w:tc>
        <w:tc>
          <w:tcPr>
            <w:tcW w:type="dxa" w:w="4320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matching_engine.py:209; frontend/static/js/app.js:518,819,850; batches.py:177-178</w:t>
              <w:br/>
              <w:t>Fix: Derive cutoff from batch period, source timezone and configurable settlement SLA.</w:t>
            </w:r>
          </w:p>
        </w:tc>
      </w:tr>
      <w:tr>
        <w:tc>
          <w:tcPr>
            <w:tcW w:type="dxa" w:w="122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M3 | Medium</w:t>
            </w:r>
          </w:p>
        </w:tc>
        <w:tc>
          <w:tcPr>
            <w:tcW w:type="dxa" w:w="367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Normalizer uses silent zero/default values for malformed money/date fields, which can create false matches and hides source quality defects.</w:t>
            </w:r>
          </w:p>
        </w:tc>
        <w:tc>
          <w:tcPr>
            <w:tcW w:type="dxa" w:w="4320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normalizer.py:67-91</w:t>
              <w:br/>
              <w:t>Fix: Return row-level validation errors/quarantine records; use Decimal parsing; reject invalid mandatory values rather than silently defaulting.</w:t>
            </w:r>
          </w:p>
        </w:tc>
      </w:tr>
      <w:tr>
        <w:tc>
          <w:tcPr>
            <w:tcW w:type="dxa" w:w="122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M4 | Medium</w:t>
            </w:r>
          </w:p>
        </w:tc>
        <w:tc>
          <w:tcPr>
            <w:tcW w:type="dxa" w:w="367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The “AI” path is largely deterministic fallback text and per-record work is performed synchronously inside the request. No proven bounded provider tool loop or actual evaluation is evidenced.</w:t>
            </w:r>
          </w:p>
        </w:tc>
        <w:tc>
          <w:tcPr>
            <w:tcW w:type="dxa" w:w="4320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batch_orchestrator.py:84-104; agent_runtime.py</w:t>
              <w:br/>
              <w:t>Fix: Separate queued job execution; expose truthful agent mode/provider state; add verifier/property tests and latency/cost telemetry.</w:t>
            </w:r>
          </w:p>
        </w:tc>
      </w:tr>
      <w:tr>
        <w:tc>
          <w:tcPr>
            <w:tcW w:type="dxa" w:w="122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M5 | Medium</w:t>
            </w:r>
          </w:p>
        </w:tc>
        <w:tc>
          <w:tcPr>
            <w:tcW w:type="dxa" w:w="367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Secrets and permissive configuration are committed defaults: JWT key, wildcard CORS, debug true, standard users, and PostgreSQL password.</w:t>
            </w:r>
          </w:p>
        </w:tc>
        <w:tc>
          <w:tcPr>
            <w:tcW w:type="dxa" w:w="4320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core/config.py:12-42; database_service.py:45-72; docker-compose.yml:10</w:t>
              <w:br/>
              <w:t>Fix: Require environment secrets, secure defaults, allowed origins, no demo passwords, and startup validation for production.</w:t>
            </w:r>
          </w:p>
        </w:tc>
      </w:tr>
      <w:tr>
        <w:tc>
          <w:tcPr>
            <w:tcW w:type="dxa" w:w="122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M6 | Medium</w:t>
            </w:r>
          </w:p>
        </w:tc>
        <w:tc>
          <w:tcPr>
            <w:tcW w:type="dxa" w:w="367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Redis is designed fail-open for distributed locking/cache, risking duplicate concurrent processing when Redis is unavailable.</w:t>
            </w:r>
          </w:p>
        </w:tc>
        <w:tc>
          <w:tcPr>
            <w:tcW w:type="dxa" w:w="4320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core/redis.py; batches.py:322-349</w:t>
              <w:br/>
              <w:t>Fix: Use durable database/advisory locks for state-changing run and approval operations; fail closed for single-run exclusivity.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Plan-to-implementation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02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Planned capability</w:t>
            </w:r>
          </w:p>
        </w:tc>
        <w:tc>
          <w:tcPr>
            <w:tcW w:type="dxa" w:w="4320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Observed status</w:t>
            </w:r>
          </w:p>
        </w:tc>
        <w:tc>
          <w:tcPr>
            <w:tcW w:type="dxa" w:w="187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Verdict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CSV/JSON ingestion, normalization, provenance</w:t>
            </w:r>
          </w:p>
        </w:tc>
        <w:tc>
          <w:tcPr>
            <w:tcW w:type="dxa" w:w="4320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CSV ingestion and SHA-256 provenance work on the live fixture; normalization is present but silently coerces malformed values.</w:t>
            </w:r>
          </w:p>
        </w:tc>
        <w:tc>
          <w:tcPr>
            <w:tcW w:type="dxa" w:w="187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Partially real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Exact/rule/fuzzy matching</w:t>
            </w:r>
          </w:p>
        </w:tc>
        <w:tc>
          <w:tcPr>
            <w:tcW w:type="dxa" w:w="4320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Exact and fee-rule matching plus a Hungarian 1:1 algorithm exist; accounting gates are insufficient.</w:t>
            </w:r>
          </w:p>
        </w:tc>
        <w:tc>
          <w:tcPr>
            <w:tcW w:type="dxa" w:w="187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Partially real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N:1 settlement DP solver</w:t>
            </w:r>
          </w:p>
        </w:tc>
        <w:tc>
          <w:tcPr>
            <w:tcW w:type="dxa" w:w="4320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Absent from active pipeline.</w:t>
            </w:r>
          </w:p>
        </w:tc>
        <w:tc>
          <w:tcPr>
            <w:tcW w:type="dxa" w:w="187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Not implemented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Measured accuracy and calibration</w:t>
            </w:r>
          </w:p>
        </w:tc>
        <w:tc>
          <w:tcPr>
            <w:tcW w:type="dxa" w:w="4320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No runtime ground-truth evaluator is wired; persisted/report values are constants.</w:t>
            </w:r>
          </w:p>
        </w:tc>
        <w:tc>
          <w:tcPr>
            <w:tcW w:type="dxa" w:w="187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Not implemented / misleading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Exception state machine and approvals</w:t>
            </w:r>
          </w:p>
        </w:tc>
        <w:tc>
          <w:tcPr>
            <w:tcW w:type="dxa" w:w="4320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Exceptions/proposals/endpoints exist; unauthenticated approver fallback and weak state integrity make it unsafe.</w:t>
            </w:r>
          </w:p>
        </w:tc>
        <w:tc>
          <w:tcPr>
            <w:tcW w:type="dxa" w:w="187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Prototype only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Read-only AI investigator and deterministic verifier</w:t>
            </w:r>
          </w:p>
        </w:tc>
        <w:tc>
          <w:tcPr>
            <w:tcW w:type="dxa" w:w="4320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Deterministic fallback exists; no evidence that real LLM tool loop/verifier is used in batch path.</w:t>
            </w:r>
          </w:p>
        </w:tc>
        <w:tc>
          <w:tcPr>
            <w:tcW w:type="dxa" w:w="187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Prototype only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Immutable audit trail</w:t>
            </w:r>
          </w:p>
        </w:tc>
        <w:tc>
          <w:tcPr>
            <w:tcW w:type="dxa" w:w="4320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Hash-chain utility works, but storage/lifecycle design is not immutable per batch.</w:t>
            </w:r>
          </w:p>
        </w:tc>
        <w:tc>
          <w:tcPr>
            <w:tcW w:type="dxa" w:w="187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Prototype only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Frontend dashboard and uploads</w:t>
            </w:r>
          </w:p>
        </w:tc>
        <w:tc>
          <w:tcPr>
            <w:tcW w:type="dxa" w:w="4320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Upload endpoint exists; happy-path browser integration is contract-inconsistent and mock-led.</w:t>
            </w:r>
          </w:p>
        </w:tc>
        <w:tc>
          <w:tcPr>
            <w:tcW w:type="dxa" w:w="187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Not reliable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Docker deployment</w:t>
            </w:r>
          </w:p>
        </w:tc>
        <w:tc>
          <w:tcPr>
            <w:tcW w:type="dxa" w:w="4320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Compose references missing Dockerfiles.</w:t>
            </w:r>
          </w:p>
        </w:tc>
        <w:tc>
          <w:tcPr>
            <w:tcW w:type="dxa" w:w="187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Not runnable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Required remediation sequence</w:t>
      </w:r>
    </w:p>
    <w:p>
      <w:pPr>
        <w:pStyle w:val="ListBullet"/>
        <w:spacing w:after="60"/>
      </w:pPr>
      <w:r>
        <w:t>Stop misleading output: remove fixed metrics; label fixtures/synthetic data; make the UI fail visibly on API errors; disable unauthenticated defaults and MOCK outside tests.</w:t>
      </w:r>
    </w:p>
    <w:p>
      <w:pPr>
        <w:pStyle w:val="ListBullet"/>
        <w:spacing w:after="60"/>
      </w:pPr>
      <w:r>
        <w:t>Correct the data model: introduce explicit source-pair/three-way reconciliation groups, signed legs, allowed account/direction rules, policy IDs and immutable source manifests.</w:t>
      </w:r>
    </w:p>
    <w:p>
      <w:pPr>
        <w:pStyle w:val="ListBullet"/>
        <w:spacing w:after="60"/>
      </w:pPr>
      <w:r>
        <w:t>Implement the settlement solver: bounded candidate blocking plus deterministic subset-sum/DP with declared fee/tax/refund/chargeback handling, exact balancing and explainable evidence.</w:t>
      </w:r>
    </w:p>
    <w:p>
      <w:pPr>
        <w:pStyle w:val="ListBullet"/>
        <w:spacing w:after="60"/>
      </w:pPr>
      <w:r>
        <w:t>Build trustworthy evaluation: generate 2,000+ labelled records; run precision/recall/F1/ECE only against manifest; publish confidence calibration and adversarial false-positive cases.</w:t>
      </w:r>
    </w:p>
    <w:p>
      <w:pPr>
        <w:pStyle w:val="ListBullet"/>
        <w:spacing w:after="60"/>
      </w:pPr>
      <w:r>
        <w:t>Harden operations: UUID run IDs, database migrations, append-only audit policy, durable locks, tenant scoping, secure config, Dockerfiles and CI integration tests.</w:t>
      </w:r>
    </w:p>
    <w:p>
      <w:pPr>
        <w:pStyle w:val="ListBullet"/>
        <w:spacing w:after="60"/>
      </w:pPr>
      <w:r>
        <w:t>Fix frontend contract: share enums/types, use real API status/error handling, calculate all cards from returned data, and test upload -&gt; run -&gt; active -&gt; report -&gt; approval -&gt; audit end to end.</w:t>
      </w:r>
    </w:p>
    <w:p>
      <w:pPr>
        <w:pStyle w:val="Heading1"/>
        <w:keepNext/>
      </w:pPr>
      <w:r>
        <w:t>Acceptance test gate before a release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727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Minimum acceptance evidence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Reconciliation correctness</w:t>
            </w:r>
          </w:p>
        </w:tc>
        <w:tc>
          <w:tcPr>
            <w:tcW w:type="dxa" w:w="727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Fixture suite covers exact, fee, refund, chargeback, duplicate, cutoff, wrong-account, wrong-direction, ambiguous, currency, and N:1 positive/negative cases. No false positive in adversarial accounting-semantics tests.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Benchmark truth</w:t>
            </w:r>
          </w:p>
        </w:tc>
        <w:tc>
          <w:tcPr>
            <w:tcW w:type="dxa" w:w="727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 versioned 2,000+ ground-truth dataset produces independently recomputed precision/recall/F1/ECE. Dashboard values equal exported evaluator output.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Data integrity</w:t>
            </w:r>
          </w:p>
        </w:tc>
        <w:tc>
          <w:tcPr>
            <w:tcW w:type="dxa" w:w="727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Every input row is either preserved, matched with signed evidence, or emitted once as a reasoned exception. No silent amount/date coercion.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727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No unauthenticated mutation; organization scoping on every query; analyst cannot approve; production startup fails with insecure configuration.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Integration</w:t>
            </w:r>
          </w:p>
        </w:tc>
        <w:tc>
          <w:tcPr>
            <w:tcW w:type="dxa" w:w="727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Browser test uploads three real files and validates UI numbers against API response, handling API errors and enum values correctly.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7272"/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Compose builds from a clean checkout; migration, API, worker, lock and audit-chain verification pass in CI.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Evidence appendix</w:t>
      </w:r>
    </w:p>
    <w:p>
      <w:pPr>
        <w:spacing w:after="120" w:line="264" w:lineRule="auto"/>
      </w:pPr>
      <w:r>
        <w:t>Commands and observed results:</w:t>
      </w:r>
    </w:p>
    <w:p>
      <w:pPr>
        <w:pStyle w:val="ListBullet"/>
        <w:spacing w:after="60"/>
      </w:pPr>
      <w:r>
        <w:t>python -m unittest discover -s tests -v (backend): 15 run, 11 passed, 4 skipped because fakeredis was unavailable.</w:t>
      </w:r>
    </w:p>
    <w:p>
      <w:pPr>
        <w:pStyle w:val="ListBullet"/>
        <w:spacing w:after="60"/>
      </w:pPr>
      <w:r>
        <w:t>python -c "from app.main import app; ..." (backend, system Python 3.14): application import succeeded and reported 29 routes.</w:t>
      </w:r>
    </w:p>
    <w:p>
      <w:pPr>
        <w:pStyle w:val="ListBullet"/>
        <w:spacing w:after="60"/>
      </w:pPr>
      <w:r>
        <w:t>FastAPI TestClient POST /api/v1/batches/run with repository data/gateway.csv, data/bank.csv and data/general_ledger.csv in INTERNAL_TEST mode: HTTP 200; 64 normalized records; exact_matches 1; contextual_matches 0; matched_records 1; total_exceptions 63; match_rate 0.0156; verified_accuracy 0.985.</w:t>
      </w:r>
    </w:p>
    <w:p>
      <w:pPr>
        <w:pStyle w:val="ListBullet"/>
        <w:spacing w:after="60"/>
      </w:pPr>
      <w:r>
        <w:t>Bundled document-runtime import test exposed a missing Tuple import at backend/app/services/normalizer.py:77. System Python 3.14 uses deferred annotation behavior and did not expose it; add the import for portability.</w:t>
      </w:r>
    </w:p>
    <w:p>
      <w:pPr>
        <w:pStyle w:val="ListBullet"/>
        <w:spacing w:after="60"/>
      </w:pPr>
      <w:r>
        <w:t>Repository inventory check: backend/Dockerfile, frontend/Dockerfile and init-db.sql were absent while compose refers to backend/Dockerfile.</w:t>
      </w:r>
    </w:p>
    <w:p>
      <w:pPr>
        <w:spacing w:after="120" w:line="264" w:lineRule="auto"/>
      </w:pPr>
      <w:r>
        <w:t>Scope note: This report assesses backend behaviour and its browser integration only. It does not certify real bank/PSP connectors, cloud deployment, regulatory compliance, or production data security.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>Backend &amp; Frontend Integration Audit | 26 Aug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Financial Controller - Backend &amp; Frontend Integration Audit</dc:title>
  <dc:subject>Implementation audit report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