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2"/>
          <w:szCs w:val="52"/>
        </w:rPr>
      </w:pPr>
      <w:r w:rsidDel="00000000" w:rsidR="00000000" w:rsidRPr="00000000">
        <w:rPr>
          <w:b w:val="1"/>
          <w:bCs w:val="1"/>
          <w:sz w:val="52"/>
          <w:szCs w:val="52"/>
          <w:rtl w:val="0"/>
        </w:rPr>
        <w:t xml:space="preserve">SE LAB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VIKAS 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SRN: PES1UG24AM477</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CLASS : 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80" w:before="360" w:line="259" w:lineRule="auto"/>
        <w:rPr>
          <w:rFonts w:ascii="Calibri" w:cs="Calibri" w:eastAsia="Calibri" w:hAnsi="Calibri"/>
          <w:color w:val="2f5496"/>
        </w:rPr>
      </w:pPr>
      <w:r w:rsidDel="00000000" w:rsidR="00000000" w:rsidRPr="00000000">
        <w:rPr>
          <w:rFonts w:ascii="Calibri" w:cs="Calibri" w:eastAsia="Calibri" w:hAnsi="Calibri"/>
          <w:color w:val="2f5496"/>
          <w:rtl w:val="0"/>
        </w:rPr>
        <w:t xml:space="preserve">Component Modelling &amp; Architectural Pattern Selection</w:t>
      </w:r>
    </w:p>
    <w:p w:rsidR="00000000" w:rsidDel="00000000" w:rsidP="00000000" w:rsidRDefault="00000000" w:rsidRPr="00000000" w14:paraId="0000000A">
      <w:pPr>
        <w:pStyle w:val="Heading2"/>
        <w:spacing w:after="80" w:before="160" w:line="259" w:lineRule="auto"/>
        <w:rPr>
          <w:rFonts w:ascii="Calibri" w:cs="Calibri" w:eastAsia="Calibri" w:hAnsi="Calibri"/>
          <w:color w:val="2f5496"/>
        </w:rPr>
      </w:pPr>
      <w:r w:rsidDel="00000000" w:rsidR="00000000" w:rsidRPr="00000000">
        <w:rPr>
          <w:rFonts w:ascii="Calibri" w:cs="Calibri" w:eastAsia="Calibri" w:hAnsi="Calibri"/>
          <w:color w:val="2f5496"/>
          <w:rtl w:val="0"/>
        </w:rPr>
        <w:t xml:space="preserve">Objective</w:t>
      </w:r>
    </w:p>
    <w:p w:rsidR="00000000" w:rsidDel="00000000" w:rsidP="00000000" w:rsidRDefault="00000000" w:rsidRPr="00000000" w14:paraId="0000000B">
      <w:pPr>
        <w:spacing w:after="160" w:line="259" w:lineRule="auto"/>
        <w:rPr/>
      </w:pPr>
      <w:r w:rsidDel="00000000" w:rsidR="00000000" w:rsidRPr="00000000">
        <w:rPr>
          <w:rFonts w:ascii="Calibri" w:cs="Calibri" w:eastAsia="Calibri" w:hAnsi="Calibri"/>
          <w:rtl w:val="0"/>
        </w:rPr>
        <w:t xml:space="preserve">Evaluate different architectural styles, select the most appropriate one for a given scenario, and create a comprehensive UML Component Diagram showing modules, interfaces, and dependencies. This lab focuses on understanding how components interact within a system and how architectural decisions impact system design.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keepNext w:val="0"/>
        <w:keepLines w:val="0"/>
        <w:spacing w:before="0" w:lineRule="auto"/>
        <w:rPr>
          <w:b w:val="1"/>
          <w:bCs w:val="1"/>
          <w:sz w:val="46"/>
          <w:szCs w:val="46"/>
        </w:rPr>
      </w:pPr>
      <w:bookmarkStart w:colFirst="0" w:colLast="0" w:name="_k6m78ct5zoku" w:id="0"/>
      <w:bookmarkEnd w:id="0"/>
      <w:r w:rsidDel="00000000" w:rsidR="00000000" w:rsidRPr="00000000">
        <w:rPr>
          <w:b w:val="1"/>
          <w:bCs w:val="1"/>
          <w:sz w:val="46"/>
          <w:szCs w:val="46"/>
          <w:rtl w:val="0"/>
        </w:rPr>
        <w:t xml:space="preserve">Architectural Justification: Self-Service Coffee Kiosk System</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xrwxtanhn6bo" w:id="1"/>
      <w:bookmarkEnd w:id="1"/>
      <w:r w:rsidDel="00000000" w:rsidR="00000000" w:rsidRPr="00000000">
        <w:rPr>
          <w:b w:val="1"/>
          <w:bCs w:val="1"/>
          <w:color w:val="000000"/>
          <w:sz w:val="26"/>
          <w:szCs w:val="26"/>
          <w:rtl w:val="0"/>
        </w:rPr>
        <w:t xml:space="preserve">Architecture Selection</w:t>
      </w:r>
    </w:p>
    <w:p w:rsidR="00000000" w:rsidDel="00000000" w:rsidP="00000000" w:rsidRDefault="00000000" w:rsidRPr="00000000" w14:paraId="0000000F">
      <w:pPr>
        <w:spacing w:after="240" w:lineRule="auto"/>
        <w:rPr/>
      </w:pPr>
      <w:r w:rsidDel="00000000" w:rsidR="00000000" w:rsidRPr="00000000">
        <w:rPr>
          <w:rtl w:val="0"/>
        </w:rPr>
        <w:t xml:space="preserve">We chose </w:t>
      </w:r>
      <w:r w:rsidDel="00000000" w:rsidR="00000000" w:rsidRPr="00000000">
        <w:rPr>
          <w:b w:val="1"/>
          <w:bCs w:val="1"/>
          <w:rtl w:val="0"/>
        </w:rPr>
        <w:t xml:space="preserve">Layered Architecture</w:t>
      </w:r>
      <w:r w:rsidDel="00000000" w:rsidR="00000000" w:rsidRPr="00000000">
        <w:rPr>
          <w:rtl w:val="0"/>
        </w:rPr>
        <w:t xml:space="preserve"> for the Self-Service Coffee Kiosk System.</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3yfrtd17bb1" w:id="2"/>
      <w:bookmarkEnd w:id="2"/>
      <w:r w:rsidDel="00000000" w:rsidR="00000000" w:rsidRPr="00000000">
        <w:rPr>
          <w:b w:val="1"/>
          <w:bCs w:val="1"/>
          <w:color w:val="000000"/>
          <w:sz w:val="26"/>
          <w:szCs w:val="26"/>
          <w:rtl w:val="0"/>
        </w:rPr>
        <w:t xml:space="preserve">1. Two Scenario-Related Reasons for Selection</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Decoupling Hardware Drivers from Business Logic:</w:t>
      </w:r>
      <w:r w:rsidDel="00000000" w:rsidR="00000000" w:rsidRPr="00000000">
        <w:rPr>
          <w:rtl w:val="0"/>
        </w:rPr>
        <w:t xml:space="preserve"> The kiosk relies on physical peripherals, including a credit card payment terminal and a receipt printer hardware unit. By structuring the software into distinct horizontal layers, the presentation and core business layers (</w:t>
      </w:r>
      <w:r w:rsidDel="00000000" w:rsidR="00000000" w:rsidRPr="00000000">
        <w:rPr>
          <w:color w:val="188038"/>
          <w:rtl w:val="0"/>
        </w:rPr>
        <w:t xml:space="preserve">TouchScreen UI</w:t>
      </w:r>
      <w:r w:rsidDel="00000000" w:rsidR="00000000" w:rsidRPr="00000000">
        <w:rPr>
          <w:rtl w:val="0"/>
        </w:rPr>
        <w:t xml:space="preserve"> and </w:t>
      </w:r>
      <w:r w:rsidDel="00000000" w:rsidR="00000000" w:rsidRPr="00000000">
        <w:rPr>
          <w:color w:val="188038"/>
          <w:rtl w:val="0"/>
        </w:rPr>
        <w:t xml:space="preserve">Order Manager</w:t>
      </w:r>
      <w:r w:rsidDel="00000000" w:rsidR="00000000" w:rsidRPr="00000000">
        <w:rPr>
          <w:rtl w:val="0"/>
        </w:rPr>
        <w:t xml:space="preserve">) interact solely through standard provided/required software interfaces. Hardware-specific driver modifications (such as upgrading the physical receipt printer or card reader) only impact the Hardware Integration layer, eliminating regression risks in order calculations or menu selection logic.</w:t>
      </w:r>
    </w:p>
    <w:p w:rsidR="00000000" w:rsidDel="00000000" w:rsidP="00000000" w:rsidRDefault="00000000" w:rsidRPr="00000000" w14:paraId="00000012">
      <w:pPr>
        <w:numPr>
          <w:ilvl w:val="0"/>
          <w:numId w:val="2"/>
        </w:numPr>
        <w:spacing w:after="240" w:lineRule="auto"/>
        <w:ind w:left="720" w:hanging="360"/>
      </w:pPr>
      <w:r w:rsidDel="00000000" w:rsidR="00000000" w:rsidRPr="00000000">
        <w:rPr>
          <w:b w:val="1"/>
          <w:bCs w:val="1"/>
          <w:rtl w:val="0"/>
        </w:rPr>
        <w:t xml:space="preserve">Suitability for Single-Node Embedded Environments:</w:t>
      </w:r>
      <w:r w:rsidDel="00000000" w:rsidR="00000000" w:rsidRPr="00000000">
        <w:rPr>
          <w:rtl w:val="0"/>
        </w:rPr>
        <w:t xml:space="preserve"> Unlike web-scale e-commerce platforms, a self-service coffee kiosk operates as an isolated, standalone terminal deployed directly inside a busy café. Implementing a distributed microservices or multi-tier client-server pattern would introduce unneeded network serialization, operational complexity, and external dependencies. Layered architecture provides clear modularity, testability, and separation of concerns while executing within a single reliable runtime environment.</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5d4imo37q3ak" w:id="3"/>
      <w:bookmarkEnd w:id="3"/>
      <w:r w:rsidDel="00000000" w:rsidR="00000000" w:rsidRPr="00000000">
        <w:rPr>
          <w:b w:val="1"/>
          <w:bCs w:val="1"/>
          <w:color w:val="000000"/>
          <w:sz w:val="26"/>
          <w:szCs w:val="26"/>
          <w:rtl w:val="0"/>
        </w:rPr>
        <w:t xml:space="preserve">2. Security Advantage</w:t>
      </w:r>
    </w:p>
    <w:p w:rsidR="00000000" w:rsidDel="00000000" w:rsidP="00000000" w:rsidRDefault="00000000" w:rsidRPr="00000000" w14:paraId="00000014">
      <w:pPr>
        <w:numPr>
          <w:ilvl w:val="0"/>
          <w:numId w:val="1"/>
        </w:numPr>
        <w:spacing w:after="240" w:lineRule="auto"/>
        <w:ind w:left="720" w:hanging="360"/>
      </w:pPr>
      <w:r w:rsidDel="00000000" w:rsidR="00000000" w:rsidRPr="00000000">
        <w:rPr>
          <w:b w:val="1"/>
          <w:bCs w:val="1"/>
          <w:rtl w:val="0"/>
        </w:rPr>
        <w:t xml:space="preserve">Isolation of Sensitive Financial Data (PCI-DSS Compliance):</w:t>
      </w:r>
      <w:r w:rsidDel="00000000" w:rsidR="00000000" w:rsidRPr="00000000">
        <w:rPr>
          <w:rtl w:val="0"/>
        </w:rPr>
        <w:t xml:space="preserve"> Credit card processing requires strict regulatory compliance and isolation from general software components. Under this layered design, raw credit card inputs and encryption handshakes are strictly encapsulated within the dedicated </w:t>
      </w:r>
      <w:r w:rsidDel="00000000" w:rsidR="00000000" w:rsidRPr="00000000">
        <w:rPr>
          <w:color w:val="188038"/>
          <w:rtl w:val="0"/>
        </w:rPr>
        <w:t xml:space="preserve">Payment Service</w:t>
      </w:r>
      <w:r w:rsidDel="00000000" w:rsidR="00000000" w:rsidRPr="00000000">
        <w:rPr>
          <w:rtl w:val="0"/>
        </w:rPr>
        <w:t xml:space="preserve"> component. The </w:t>
      </w:r>
      <w:r w:rsidDel="00000000" w:rsidR="00000000" w:rsidRPr="00000000">
        <w:rPr>
          <w:color w:val="188038"/>
          <w:rtl w:val="0"/>
        </w:rPr>
        <w:t xml:space="preserve">TouchScreen UI</w:t>
      </w:r>
      <w:r w:rsidDel="00000000" w:rsidR="00000000" w:rsidRPr="00000000">
        <w:rPr>
          <w:rtl w:val="0"/>
        </w:rPr>
        <w:t xml:space="preserve"> and </w:t>
      </w:r>
      <w:r w:rsidDel="00000000" w:rsidR="00000000" w:rsidRPr="00000000">
        <w:rPr>
          <w:color w:val="188038"/>
          <w:rtl w:val="0"/>
        </w:rPr>
        <w:t xml:space="preserve">Order Manager</w:t>
      </w:r>
      <w:r w:rsidDel="00000000" w:rsidR="00000000" w:rsidRPr="00000000">
        <w:rPr>
          <w:rtl w:val="0"/>
        </w:rPr>
        <w:t xml:space="preserve"> components never store, log, or inspect sensitive cardholder credentials, drastically reducing the security attack surface on the kiosk device.</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oeqcue1smpjs" w:id="4"/>
      <w:bookmarkEnd w:id="4"/>
      <w:r w:rsidDel="00000000" w:rsidR="00000000" w:rsidRPr="00000000">
        <w:rPr>
          <w:b w:val="1"/>
          <w:bCs w:val="1"/>
          <w:color w:val="000000"/>
          <w:sz w:val="26"/>
          <w:szCs w:val="26"/>
          <w:rtl w:val="0"/>
        </w:rPr>
        <w:t xml:space="preserve">3. Performance Benefit</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b w:val="1"/>
          <w:bCs w:val="1"/>
          <w:rtl w:val="0"/>
        </w:rPr>
        <w:t xml:space="preserve">Zero-Latency In-Memory Execution:</w:t>
      </w:r>
      <w:r w:rsidDel="00000000" w:rsidR="00000000" w:rsidRPr="00000000">
        <w:rPr>
          <w:rtl w:val="0"/>
        </w:rPr>
        <w:t xml:space="preserve"> Because presentation, business processing, and local database lookups exist in logical layers on the local machine rather than communicating over remote network hops, order processing latency is negligible. Menu retrieval, size price recalculation, and touch-screen state transitions occur via direct in-memory method invocations, guaranteeing immediate UI responsiveness for rapid customer throughput during rush hours in a busy café.</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