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SE LAB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NAME: VIKAS R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SRN: PES1UG24AM477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SEC: 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4a86e8"/>
          <w:sz w:val="36"/>
          <w:szCs w:val="36"/>
        </w:rPr>
      </w:pPr>
      <w:r w:rsidDel="00000000" w:rsidR="00000000" w:rsidRPr="00000000">
        <w:rPr>
          <w:color w:val="4a86e8"/>
          <w:sz w:val="36"/>
          <w:szCs w:val="36"/>
          <w:u w:val="single"/>
          <w:rtl w:val="0"/>
        </w:rPr>
        <w:t xml:space="preserve">Lab 2</w:t>
      </w:r>
      <w:r w:rsidDel="00000000" w:rsidR="00000000" w:rsidRPr="00000000">
        <w:rPr>
          <w:color w:val="4a86e8"/>
          <w:sz w:val="36"/>
          <w:szCs w:val="36"/>
          <w:rtl w:val="0"/>
        </w:rPr>
        <w:t xml:space="preserve">: Agile Backlog Creation &amp; Sprint Simulation in Jira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Objective</w:t>
      </w:r>
      <w:r w:rsidDel="00000000" w:rsidR="00000000" w:rsidRPr="00000000">
        <w:rPr>
          <w:sz w:val="28"/>
          <w:szCs w:val="28"/>
          <w:rtl w:val="0"/>
        </w:rPr>
        <w:t xml:space="preserve">: Use Jira to turn functional requirements into Agile backlog items, simulate a sprint, and analyse progress. 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1)Jira backlog with Epics and User Stories. 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3035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2)Story point assignments. 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1231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3)Sprint board (Active Sprint view). </w:t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1752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4)Burndown Chart</w:t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1765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1930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731200" cy="2755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Answers to the reflection questions. </w:t>
      </w:r>
    </w:p>
    <w:p w:rsidR="00000000" w:rsidDel="00000000" w:rsidP="00000000" w:rsidRDefault="00000000" w:rsidRPr="00000000" w14:paraId="0000001F">
      <w:pPr>
        <w:rPr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Did your estimations reflect the actual effort?</w:t>
      </w:r>
    </w:p>
    <w:p w:rsidR="00000000" w:rsidDel="00000000" w:rsidP="00000000" w:rsidRDefault="00000000" w:rsidRPr="00000000" w14:paraId="00000021">
      <w:pPr>
        <w:spacing w:after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Yes. The Fibonacci sequence allowed our team to distinguish low-effort tasks (e.g., Medical Staff Verification at 2 points) from architecturally complex tasks involving token signing and cryptographic expiry windows (e.g., Time-Bounded Consent Grant at 5 points). Because this was a time-boxed sprint simulation, the point assignments reflected architectural complexity and data sensitivity risks rather than raw development hours alone.</w:t>
      </w:r>
    </w:p>
    <w:p w:rsidR="00000000" w:rsidDel="00000000" w:rsidP="00000000" w:rsidRDefault="00000000" w:rsidRPr="00000000" w14:paraId="00000022">
      <w:pPr>
        <w:spacing w:after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Was your backlog well-prioritized?</w:t>
      </w:r>
    </w:p>
    <w:p w:rsidR="00000000" w:rsidDel="00000000" w:rsidP="00000000" w:rsidRDefault="00000000" w:rsidRPr="00000000" w14:paraId="00000024">
      <w:pPr>
        <w:spacing w:after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Yes, the backlog strictly prioritized core security and data governance requirements first. Story 1.1 (Consent Grant) and Story 1.2 (Consent Revocation) were marked as High Priority because without patient-controlled authorization and revocation mechanisms, diagnostic data cannot legally or safely be exposed to third parties. Secondary administrative and dashboard viewing capabilities were prioritized subsequently.</w:t>
      </w:r>
    </w:p>
    <w:p w:rsidR="00000000" w:rsidDel="00000000" w:rsidP="00000000" w:rsidRDefault="00000000" w:rsidRPr="00000000" w14:paraId="00000025">
      <w:pPr>
        <w:spacing w:after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How did your simulated sprint align with your plan?</w:t>
      </w:r>
    </w:p>
    <w:p w:rsidR="00000000" w:rsidDel="00000000" w:rsidP="00000000" w:rsidRDefault="00000000" w:rsidRPr="00000000" w14:paraId="00000026">
      <w:pPr>
        <w:spacing w:after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sprint achieved 10 out of the 18 planned story points (Stories 2.1, 1.1, and 1.2 completed). Granular filtering and real-time dashboard analytics remained partially completed, mirroring real-world agile development where core access control mechanisms must be fully stabilized before advanced filtering layers are finalized.</w:t>
      </w:r>
    </w:p>
    <w:p w:rsidR="00000000" w:rsidDel="00000000" w:rsidP="00000000" w:rsidRDefault="00000000" w:rsidRPr="00000000" w14:paraId="00000027">
      <w:pPr>
        <w:spacing w:after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What insights did the burndown chart give about your team's capacity?</w:t>
      </w:r>
    </w:p>
    <w:p w:rsidR="00000000" w:rsidDel="00000000" w:rsidP="00000000" w:rsidRDefault="00000000" w:rsidRPr="00000000" w14:paraId="00000028">
      <w:pPr>
        <w:spacing w:after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burndown chart illustrated a step-wise drop in remaining work as large user stories (5 points) were completed and resolved. It highlighted that committing to 18 points across multiple complex features in a single 1-week sprint stretched team capacity, indicating that future velocity should stabilize around 10–12 story points per iteration to prevent scope spillover.</w:t>
      </w:r>
    </w:p>
    <w:p w:rsidR="00000000" w:rsidDel="00000000" w:rsidP="00000000" w:rsidRDefault="00000000" w:rsidRPr="00000000" w14:paraId="00000029">
      <w:pPr>
        <w:spacing w:after="240" w:lineRule="auto"/>
        <w:ind w:left="0" w:right="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