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7D4" w:rsidRDefault="00616AAB">
      <w:r>
        <w:t>As of March 3</w:t>
      </w:r>
      <w:r w:rsidRPr="00616AAB">
        <w:rPr>
          <w:vertAlign w:val="superscript"/>
        </w:rPr>
        <w:t>rd</w:t>
      </w:r>
      <w:r>
        <w:t xml:space="preserve">, there has not been a major financial change in the project’s cost. In our current situation and due to time limitation, the use of more than one VNCL4010 sensor has been dropped and thus reducing the overall cost by </w:t>
      </w:r>
      <w:r w:rsidR="006A46C6">
        <w:t>$22.5 USD, but on the other hand, if we had no time constraints then the original overall cost would’ve been increased by $6.95 USD as we would’ve required a TCA9548A I2C multiplexer board to allow us to communicate with multiple VCNL4010 sensors. We also had to switch from a common anode RGB LEDs to common cathode RGB LEDs, which has a very minor impact on the project financially.</w:t>
      </w:r>
      <w:bookmarkStart w:id="0" w:name="_GoBack"/>
      <w:bookmarkEnd w:id="0"/>
    </w:p>
    <w:sectPr w:rsidR="000047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3BD"/>
    <w:rsid w:val="000047D4"/>
    <w:rsid w:val="002423BD"/>
    <w:rsid w:val="00616AAB"/>
    <w:rsid w:val="006A4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6483"/>
  <w15:chartTrackingRefBased/>
  <w15:docId w15:val="{089ABF1C-F937-4B76-807D-CDCB3BE5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dc:creator>
  <cp:keywords/>
  <dc:description/>
  <cp:lastModifiedBy>Elias S</cp:lastModifiedBy>
  <cp:revision>2</cp:revision>
  <dcterms:created xsi:type="dcterms:W3CDTF">2020-03-03T18:21:00Z</dcterms:created>
  <dcterms:modified xsi:type="dcterms:W3CDTF">2020-03-03T19:05:00Z</dcterms:modified>
</cp:coreProperties>
</file>