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9A2F" w14:textId="77777777" w:rsidR="00F95B2E" w:rsidRPr="00680B47" w:rsidRDefault="00F95B2E" w:rsidP="00F95B2E">
      <w:pPr>
        <w:rPr>
          <w:rFonts w:ascii="Times New Roman" w:hAnsi="Times New Roman" w:cs="Times New Roman"/>
          <w:b/>
          <w:bCs/>
        </w:rPr>
      </w:pPr>
      <w:r w:rsidRPr="00680B47">
        <w:rPr>
          <w:rFonts w:ascii="Times New Roman" w:hAnsi="Times New Roman" w:cs="Times New Roman"/>
          <w:b/>
          <w:bCs/>
        </w:rPr>
        <w:t>Credit Card Customer &amp; Risk Analysis — Insights Report</w:t>
      </w:r>
    </w:p>
    <w:p w14:paraId="7ABFC095" w14:textId="77777777" w:rsidR="00F95B2E" w:rsidRPr="00680B47" w:rsidRDefault="00F95B2E" w:rsidP="00F95B2E">
      <w:pPr>
        <w:rPr>
          <w:rFonts w:ascii="Times New Roman" w:hAnsi="Times New Roman" w:cs="Times New Roman"/>
          <w:b/>
          <w:bCs/>
        </w:rPr>
      </w:pPr>
      <w:r w:rsidRPr="00680B47">
        <w:rPr>
          <w:rFonts w:ascii="Times New Roman" w:hAnsi="Times New Roman" w:cs="Times New Roman"/>
          <w:b/>
          <w:bCs/>
        </w:rPr>
        <w:t>Executive Summary</w:t>
      </w:r>
    </w:p>
    <w:p w14:paraId="294C0738" w14:textId="77777777" w:rsidR="00F95B2E" w:rsidRPr="00680B47" w:rsidRDefault="00F95B2E" w:rsidP="00F95B2E">
      <w:pPr>
        <w:rPr>
          <w:rFonts w:ascii="Times New Roman" w:hAnsi="Times New Roman" w:cs="Times New Roman"/>
        </w:rPr>
      </w:pPr>
      <w:r w:rsidRPr="00680B47">
        <w:rPr>
          <w:rFonts w:ascii="Times New Roman" w:hAnsi="Times New Roman" w:cs="Times New Roman"/>
        </w:rPr>
        <w:t xml:space="preserve">The analysis of approximately </w:t>
      </w:r>
      <w:r w:rsidRPr="00680B47">
        <w:rPr>
          <w:rFonts w:ascii="Times New Roman" w:hAnsi="Times New Roman" w:cs="Times New Roman"/>
          <w:b/>
          <w:bCs/>
        </w:rPr>
        <w:t>10K credit card customers</w:t>
      </w:r>
      <w:r w:rsidRPr="00680B47">
        <w:rPr>
          <w:rFonts w:ascii="Times New Roman" w:hAnsi="Times New Roman" w:cs="Times New Roman"/>
        </w:rPr>
        <w:t xml:space="preserve"> highlights key revenue drivers, customer spending patterns, transaction trends, and potential credit-risk segments. The findings can help the business improve customer retention, target high-value segments, and monitor delinquency risk.</w:t>
      </w:r>
    </w:p>
    <w:p w14:paraId="64BDC92E" w14:textId="77777777" w:rsidR="00F95B2E" w:rsidRPr="00680B47" w:rsidRDefault="00F95B2E" w:rsidP="00F95B2E">
      <w:pPr>
        <w:rPr>
          <w:rFonts w:ascii="Times New Roman" w:hAnsi="Times New Roman" w:cs="Times New Roman"/>
          <w:b/>
          <w:bCs/>
        </w:rPr>
      </w:pPr>
      <w:r w:rsidRPr="00680B47">
        <w:rPr>
          <w:rFonts w:ascii="Times New Roman" w:hAnsi="Times New Roman" w:cs="Times New Roman"/>
          <w:b/>
          <w:bCs/>
        </w:rPr>
        <w:t>Key Business Insights</w:t>
      </w:r>
    </w:p>
    <w:p w14:paraId="5FDBE1BF" w14:textId="77777777" w:rsidR="00F95B2E" w:rsidRPr="00680B47" w:rsidRDefault="00F95B2E" w:rsidP="00F95B2E">
      <w:pPr>
        <w:rPr>
          <w:rFonts w:ascii="Times New Roman" w:hAnsi="Times New Roman" w:cs="Times New Roman"/>
        </w:rPr>
      </w:pPr>
      <w:r w:rsidRPr="00680B47">
        <w:rPr>
          <w:rFonts w:ascii="Times New Roman" w:hAnsi="Times New Roman" w:cs="Times New Roman"/>
          <w:b/>
          <w:bCs/>
        </w:rPr>
        <w:t>1. Card Category Performance</w:t>
      </w:r>
      <w:r w:rsidRPr="00680B47">
        <w:rPr>
          <w:rFonts w:ascii="Times New Roman" w:hAnsi="Times New Roman" w:cs="Times New Roman"/>
        </w:rPr>
        <w:br/>
        <w:t xml:space="preserve">Blue card customers generated approximately </w:t>
      </w:r>
      <w:r w:rsidRPr="00680B47">
        <w:rPr>
          <w:rFonts w:ascii="Times New Roman" w:hAnsi="Times New Roman" w:cs="Times New Roman"/>
          <w:b/>
          <w:bCs/>
        </w:rPr>
        <w:t>83% of total revenue</w:t>
      </w:r>
      <w:r w:rsidRPr="00680B47">
        <w:rPr>
          <w:rFonts w:ascii="Times New Roman" w:hAnsi="Times New Roman" w:cs="Times New Roman"/>
        </w:rPr>
        <w:t>, making Blue the dominant revenue-generating card segment. The company should prioritize retention of this customer base while exploring opportunities to increase premium-card adoption.</w:t>
      </w:r>
    </w:p>
    <w:p w14:paraId="117035C8" w14:textId="77777777" w:rsidR="00F95B2E" w:rsidRPr="00680B47" w:rsidRDefault="00F95B2E" w:rsidP="00F95B2E">
      <w:pPr>
        <w:rPr>
          <w:rFonts w:ascii="Times New Roman" w:hAnsi="Times New Roman" w:cs="Times New Roman"/>
        </w:rPr>
      </w:pPr>
      <w:r w:rsidRPr="00680B47">
        <w:rPr>
          <w:rFonts w:ascii="Times New Roman" w:hAnsi="Times New Roman" w:cs="Times New Roman"/>
          <w:b/>
          <w:bCs/>
        </w:rPr>
        <w:t>2. Quarterly Performance</w:t>
      </w:r>
      <w:r w:rsidRPr="00680B47">
        <w:rPr>
          <w:rFonts w:ascii="Times New Roman" w:hAnsi="Times New Roman" w:cs="Times New Roman"/>
        </w:rPr>
        <w:br/>
      </w:r>
      <w:r w:rsidRPr="00680B47">
        <w:rPr>
          <w:rFonts w:ascii="Times New Roman" w:hAnsi="Times New Roman" w:cs="Times New Roman"/>
          <w:b/>
          <w:bCs/>
        </w:rPr>
        <w:t>Q4 recorded the highest revenue and transaction volume</w:t>
      </w:r>
      <w:r w:rsidRPr="00680B47">
        <w:rPr>
          <w:rFonts w:ascii="Times New Roman" w:hAnsi="Times New Roman" w:cs="Times New Roman"/>
        </w:rPr>
        <w:t xml:space="preserve">, with approximately </w:t>
      </w:r>
      <w:r w:rsidRPr="00680B47">
        <w:rPr>
          <w:rFonts w:ascii="Times New Roman" w:hAnsi="Times New Roman" w:cs="Times New Roman"/>
          <w:b/>
          <w:bCs/>
        </w:rPr>
        <w:t>14.5M revenue and 173K transactions</w:t>
      </w:r>
      <w:r w:rsidRPr="00680B47">
        <w:rPr>
          <w:rFonts w:ascii="Times New Roman" w:hAnsi="Times New Roman" w:cs="Times New Roman"/>
        </w:rPr>
        <w:t>. This indicates stronger customer spending activity toward the end of the year and provides an opportunity for targeted seasonal campaigns.</w:t>
      </w:r>
    </w:p>
    <w:p w14:paraId="18CBE185" w14:textId="77777777" w:rsidR="00F95B2E" w:rsidRPr="00680B47" w:rsidRDefault="00F95B2E" w:rsidP="00F95B2E">
      <w:pPr>
        <w:rPr>
          <w:rFonts w:ascii="Times New Roman" w:hAnsi="Times New Roman" w:cs="Times New Roman"/>
        </w:rPr>
      </w:pPr>
      <w:r w:rsidRPr="00680B47">
        <w:rPr>
          <w:rFonts w:ascii="Times New Roman" w:hAnsi="Times New Roman" w:cs="Times New Roman"/>
          <w:b/>
          <w:bCs/>
        </w:rPr>
        <w:t xml:space="preserve">3. Expenditure </w:t>
      </w:r>
      <w:proofErr w:type="spellStart"/>
      <w:r w:rsidRPr="00680B47">
        <w:rPr>
          <w:rFonts w:ascii="Times New Roman" w:hAnsi="Times New Roman" w:cs="Times New Roman"/>
          <w:b/>
          <w:bCs/>
        </w:rPr>
        <w:t>Behavior</w:t>
      </w:r>
      <w:proofErr w:type="spellEnd"/>
      <w:r w:rsidRPr="00680B47">
        <w:rPr>
          <w:rFonts w:ascii="Times New Roman" w:hAnsi="Times New Roman" w:cs="Times New Roman"/>
        </w:rPr>
        <w:br/>
      </w:r>
      <w:r w:rsidRPr="00680B47">
        <w:rPr>
          <w:rFonts w:ascii="Times New Roman" w:hAnsi="Times New Roman" w:cs="Times New Roman"/>
          <w:b/>
          <w:bCs/>
        </w:rPr>
        <w:t>Bills</w:t>
      </w:r>
      <w:r w:rsidRPr="00680B47">
        <w:rPr>
          <w:rFonts w:ascii="Times New Roman" w:hAnsi="Times New Roman" w:cs="Times New Roman"/>
        </w:rPr>
        <w:t xml:space="preserve"> were the largest expenditure category, generating approximately </w:t>
      </w:r>
      <w:r w:rsidRPr="00680B47">
        <w:rPr>
          <w:rFonts w:ascii="Times New Roman" w:hAnsi="Times New Roman" w:cs="Times New Roman"/>
          <w:b/>
          <w:bCs/>
        </w:rPr>
        <w:t>14M</w:t>
      </w:r>
      <w:r w:rsidRPr="00680B47">
        <w:rPr>
          <w:rFonts w:ascii="Times New Roman" w:hAnsi="Times New Roman" w:cs="Times New Roman"/>
        </w:rPr>
        <w:t>, followed by Entertainment and Fuel. This indicates strong credit-card usage for recurring and lifestyle expenses.</w:t>
      </w:r>
    </w:p>
    <w:p w14:paraId="60977711" w14:textId="77777777" w:rsidR="00F95B2E" w:rsidRPr="00680B47" w:rsidRDefault="00F95B2E" w:rsidP="00F95B2E">
      <w:pPr>
        <w:rPr>
          <w:rFonts w:ascii="Times New Roman" w:hAnsi="Times New Roman" w:cs="Times New Roman"/>
        </w:rPr>
      </w:pPr>
      <w:r w:rsidRPr="00680B47">
        <w:rPr>
          <w:rFonts w:ascii="Times New Roman" w:hAnsi="Times New Roman" w:cs="Times New Roman"/>
          <w:b/>
          <w:bCs/>
        </w:rPr>
        <w:t>4. Customer Segmentation</w:t>
      </w:r>
      <w:r w:rsidRPr="00680B47">
        <w:rPr>
          <w:rFonts w:ascii="Times New Roman" w:hAnsi="Times New Roman" w:cs="Times New Roman"/>
        </w:rPr>
        <w:br/>
      </w:r>
      <w:r w:rsidRPr="00680B47">
        <w:rPr>
          <w:rFonts w:ascii="Times New Roman" w:hAnsi="Times New Roman" w:cs="Times New Roman"/>
          <w:b/>
          <w:bCs/>
        </w:rPr>
        <w:t>Business customers</w:t>
      </w:r>
      <w:r w:rsidRPr="00680B47">
        <w:rPr>
          <w:rFonts w:ascii="Times New Roman" w:hAnsi="Times New Roman" w:cs="Times New Roman"/>
        </w:rPr>
        <w:t xml:space="preserve"> generated the highest revenue among occupational groups. Customers aged </w:t>
      </w:r>
      <w:r w:rsidRPr="00680B47">
        <w:rPr>
          <w:rFonts w:ascii="Times New Roman" w:hAnsi="Times New Roman" w:cs="Times New Roman"/>
          <w:b/>
          <w:bCs/>
        </w:rPr>
        <w:t>40–50</w:t>
      </w:r>
      <w:r w:rsidRPr="00680B47">
        <w:rPr>
          <w:rFonts w:ascii="Times New Roman" w:hAnsi="Times New Roman" w:cs="Times New Roman"/>
        </w:rPr>
        <w:t xml:space="preserve"> were also among the strongest revenue-generating segments, making these groups important targets for retention and personalized offers.</w:t>
      </w:r>
    </w:p>
    <w:p w14:paraId="2DBFB985" w14:textId="77777777" w:rsidR="00F95B2E" w:rsidRPr="00680B47" w:rsidRDefault="00F95B2E" w:rsidP="00F95B2E">
      <w:pPr>
        <w:rPr>
          <w:rFonts w:ascii="Times New Roman" w:hAnsi="Times New Roman" w:cs="Times New Roman"/>
        </w:rPr>
      </w:pPr>
      <w:r w:rsidRPr="00680B47">
        <w:rPr>
          <w:rFonts w:ascii="Times New Roman" w:hAnsi="Times New Roman" w:cs="Times New Roman"/>
          <w:b/>
          <w:bCs/>
        </w:rPr>
        <w:t>5. Payment Method</w:t>
      </w:r>
      <w:r w:rsidRPr="00680B47">
        <w:rPr>
          <w:rFonts w:ascii="Times New Roman" w:hAnsi="Times New Roman" w:cs="Times New Roman"/>
        </w:rPr>
        <w:br/>
      </w:r>
      <w:r w:rsidRPr="00680B47">
        <w:rPr>
          <w:rFonts w:ascii="Times New Roman" w:hAnsi="Times New Roman" w:cs="Times New Roman"/>
          <w:b/>
          <w:bCs/>
        </w:rPr>
        <w:t>Swipe transactions generated approximately 35.7M</w:t>
      </w:r>
      <w:r w:rsidRPr="00680B47">
        <w:rPr>
          <w:rFonts w:ascii="Times New Roman" w:hAnsi="Times New Roman" w:cs="Times New Roman"/>
        </w:rPr>
        <w:t>, significantly exceeding online transactions. This indicates that digital payment adoption has potential for growth through targeted rewards and promotional offers.</w:t>
      </w:r>
    </w:p>
    <w:p w14:paraId="2F3CDDD6" w14:textId="77777777" w:rsidR="00F95B2E" w:rsidRPr="00680B47" w:rsidRDefault="00F95B2E" w:rsidP="00F95B2E">
      <w:pPr>
        <w:rPr>
          <w:rFonts w:ascii="Times New Roman" w:hAnsi="Times New Roman" w:cs="Times New Roman"/>
        </w:rPr>
      </w:pPr>
      <w:r w:rsidRPr="00680B47">
        <w:rPr>
          <w:rFonts w:ascii="Times New Roman" w:hAnsi="Times New Roman" w:cs="Times New Roman"/>
          <w:b/>
          <w:bCs/>
        </w:rPr>
        <w:t>6. Delinquency Risk</w:t>
      </w:r>
      <w:r w:rsidRPr="00680B47">
        <w:rPr>
          <w:rFonts w:ascii="Times New Roman" w:hAnsi="Times New Roman" w:cs="Times New Roman"/>
        </w:rPr>
        <w:br/>
        <w:t xml:space="preserve">The overall </w:t>
      </w:r>
      <w:r w:rsidRPr="00680B47">
        <w:rPr>
          <w:rFonts w:ascii="Times New Roman" w:hAnsi="Times New Roman" w:cs="Times New Roman"/>
          <w:b/>
          <w:bCs/>
        </w:rPr>
        <w:t>delinquency rate is approximately 6%</w:t>
      </w:r>
      <w:r w:rsidRPr="00680B47">
        <w:rPr>
          <w:rFonts w:ascii="Times New Roman" w:hAnsi="Times New Roman" w:cs="Times New Roman"/>
        </w:rPr>
        <w:t xml:space="preserve">. However, risk varies considerably across customer segments. The </w:t>
      </w:r>
      <w:r w:rsidRPr="00680B47">
        <w:rPr>
          <w:rFonts w:ascii="Times New Roman" w:hAnsi="Times New Roman" w:cs="Times New Roman"/>
          <w:b/>
          <w:bCs/>
        </w:rPr>
        <w:t>40–50 age group with Platinum cards recorded a 15% delinquency rate</w:t>
      </w:r>
      <w:r w:rsidRPr="00680B47">
        <w:rPr>
          <w:rFonts w:ascii="Times New Roman" w:hAnsi="Times New Roman" w:cs="Times New Roman"/>
        </w:rPr>
        <w:t xml:space="preserve">, while </w:t>
      </w:r>
      <w:r w:rsidRPr="00680B47">
        <w:rPr>
          <w:rFonts w:ascii="Times New Roman" w:hAnsi="Times New Roman" w:cs="Times New Roman"/>
          <w:b/>
          <w:bCs/>
        </w:rPr>
        <w:t>60+ Gold card customers recorded 13%</w:t>
      </w:r>
      <w:r w:rsidRPr="00680B47">
        <w:rPr>
          <w:rFonts w:ascii="Times New Roman" w:hAnsi="Times New Roman" w:cs="Times New Roman"/>
        </w:rPr>
        <w:t>, identifying these as potentially higher-risk segments.</w:t>
      </w:r>
    </w:p>
    <w:p w14:paraId="4D172F43" w14:textId="77777777" w:rsidR="00F95B2E" w:rsidRPr="00680B47" w:rsidRDefault="00F95B2E" w:rsidP="00F95B2E">
      <w:pPr>
        <w:rPr>
          <w:rFonts w:ascii="Times New Roman" w:hAnsi="Times New Roman" w:cs="Times New Roman"/>
        </w:rPr>
      </w:pPr>
      <w:r w:rsidRPr="00680B47">
        <w:rPr>
          <w:rFonts w:ascii="Times New Roman" w:hAnsi="Times New Roman" w:cs="Times New Roman"/>
          <w:b/>
          <w:bCs/>
        </w:rPr>
        <w:t>7. Customer Satisfaction</w:t>
      </w:r>
      <w:r w:rsidRPr="00680B47">
        <w:rPr>
          <w:rFonts w:ascii="Times New Roman" w:hAnsi="Times New Roman" w:cs="Times New Roman"/>
        </w:rPr>
        <w:br/>
        <w:t xml:space="preserve">The average customer satisfaction score is </w:t>
      </w:r>
      <w:r w:rsidRPr="00680B47">
        <w:rPr>
          <w:rFonts w:ascii="Times New Roman" w:hAnsi="Times New Roman" w:cs="Times New Roman"/>
          <w:b/>
          <w:bCs/>
        </w:rPr>
        <w:t>3.19/5</w:t>
      </w:r>
      <w:r w:rsidRPr="00680B47">
        <w:rPr>
          <w:rFonts w:ascii="Times New Roman" w:hAnsi="Times New Roman" w:cs="Times New Roman"/>
        </w:rPr>
        <w:t>, indicating moderate satisfaction and potential opportunities to improve the overall customer experience.</w:t>
      </w:r>
    </w:p>
    <w:p w14:paraId="7D1E5C90" w14:textId="77777777" w:rsidR="00680B47" w:rsidRDefault="00680B47" w:rsidP="00F95B2E">
      <w:pPr>
        <w:rPr>
          <w:rFonts w:ascii="Times New Roman" w:hAnsi="Times New Roman" w:cs="Times New Roman"/>
          <w:b/>
          <w:bCs/>
        </w:rPr>
      </w:pPr>
    </w:p>
    <w:p w14:paraId="600680C1" w14:textId="77777777" w:rsidR="00680B47" w:rsidRDefault="00680B47" w:rsidP="00F95B2E">
      <w:pPr>
        <w:rPr>
          <w:rFonts w:ascii="Times New Roman" w:hAnsi="Times New Roman" w:cs="Times New Roman"/>
          <w:b/>
          <w:bCs/>
        </w:rPr>
      </w:pPr>
    </w:p>
    <w:p w14:paraId="0D7CF2FC" w14:textId="10D1E9E4" w:rsidR="00F95B2E" w:rsidRPr="00680B47" w:rsidRDefault="00F95B2E" w:rsidP="00F95B2E">
      <w:pPr>
        <w:rPr>
          <w:rFonts w:ascii="Times New Roman" w:hAnsi="Times New Roman" w:cs="Times New Roman"/>
          <w:b/>
          <w:bCs/>
        </w:rPr>
      </w:pPr>
      <w:r w:rsidRPr="00680B47">
        <w:rPr>
          <w:rFonts w:ascii="Times New Roman" w:hAnsi="Times New Roman" w:cs="Times New Roman"/>
          <w:b/>
          <w:bCs/>
        </w:rPr>
        <w:lastRenderedPageBreak/>
        <w:t>Recommendations</w:t>
      </w:r>
    </w:p>
    <w:p w14:paraId="0D8278A1" w14:textId="77777777" w:rsidR="00F95B2E" w:rsidRPr="00680B47" w:rsidRDefault="00F95B2E" w:rsidP="00F95B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0B47">
        <w:rPr>
          <w:rFonts w:ascii="Times New Roman" w:hAnsi="Times New Roman" w:cs="Times New Roman"/>
          <w:b/>
          <w:bCs/>
        </w:rPr>
        <w:t>Retain Blue card customers</w:t>
      </w:r>
      <w:r w:rsidRPr="00680B47">
        <w:rPr>
          <w:rFonts w:ascii="Times New Roman" w:hAnsi="Times New Roman" w:cs="Times New Roman"/>
        </w:rPr>
        <w:t xml:space="preserve"> through targeted loyalty and retention programs.</w:t>
      </w:r>
    </w:p>
    <w:p w14:paraId="615A6C1D" w14:textId="77777777" w:rsidR="00F95B2E" w:rsidRPr="00680B47" w:rsidRDefault="00F95B2E" w:rsidP="00F95B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0B47">
        <w:rPr>
          <w:rFonts w:ascii="Times New Roman" w:hAnsi="Times New Roman" w:cs="Times New Roman"/>
          <w:b/>
          <w:bCs/>
        </w:rPr>
        <w:t>Target high-value customers</w:t>
      </w:r>
      <w:r w:rsidRPr="00680B47">
        <w:rPr>
          <w:rFonts w:ascii="Times New Roman" w:hAnsi="Times New Roman" w:cs="Times New Roman"/>
        </w:rPr>
        <w:t>, particularly business customers and the 40–50 age group.</w:t>
      </w:r>
    </w:p>
    <w:p w14:paraId="64F27424" w14:textId="77777777" w:rsidR="00F95B2E" w:rsidRPr="00680B47" w:rsidRDefault="00F95B2E" w:rsidP="00F95B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0B47">
        <w:rPr>
          <w:rFonts w:ascii="Times New Roman" w:hAnsi="Times New Roman" w:cs="Times New Roman"/>
          <w:b/>
          <w:bCs/>
        </w:rPr>
        <w:t>Monitor high-risk segments</w:t>
      </w:r>
      <w:r w:rsidRPr="00680B47">
        <w:rPr>
          <w:rFonts w:ascii="Times New Roman" w:hAnsi="Times New Roman" w:cs="Times New Roman"/>
        </w:rPr>
        <w:t>, especially 40–50 Platinum and 60+ Gold customers.</w:t>
      </w:r>
    </w:p>
    <w:p w14:paraId="445E8097" w14:textId="77777777" w:rsidR="00F95B2E" w:rsidRPr="00680B47" w:rsidRDefault="00F95B2E" w:rsidP="00F95B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0B47">
        <w:rPr>
          <w:rFonts w:ascii="Times New Roman" w:hAnsi="Times New Roman" w:cs="Times New Roman"/>
          <w:b/>
          <w:bCs/>
        </w:rPr>
        <w:t>Promote digital transactions</w:t>
      </w:r>
      <w:r w:rsidRPr="00680B47">
        <w:rPr>
          <w:rFonts w:ascii="Times New Roman" w:hAnsi="Times New Roman" w:cs="Times New Roman"/>
        </w:rPr>
        <w:t xml:space="preserve"> through cashback and online-specific rewards.</w:t>
      </w:r>
    </w:p>
    <w:p w14:paraId="7877EFD4" w14:textId="77777777" w:rsidR="00F95B2E" w:rsidRPr="00680B47" w:rsidRDefault="00F95B2E" w:rsidP="00F95B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0B47">
        <w:rPr>
          <w:rFonts w:ascii="Times New Roman" w:hAnsi="Times New Roman" w:cs="Times New Roman"/>
          <w:b/>
          <w:bCs/>
        </w:rPr>
        <w:t>Leverage Q4 spending trends</w:t>
      </w:r>
      <w:r w:rsidRPr="00680B47">
        <w:rPr>
          <w:rFonts w:ascii="Times New Roman" w:hAnsi="Times New Roman" w:cs="Times New Roman"/>
        </w:rPr>
        <w:t xml:space="preserve"> with seasonal campaigns and personalized offers.</w:t>
      </w:r>
    </w:p>
    <w:p w14:paraId="2C388317" w14:textId="77777777" w:rsidR="00F95B2E" w:rsidRPr="00680B47" w:rsidRDefault="00F95B2E" w:rsidP="00F95B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0B47">
        <w:rPr>
          <w:rFonts w:ascii="Times New Roman" w:hAnsi="Times New Roman" w:cs="Times New Roman"/>
          <w:b/>
          <w:bCs/>
        </w:rPr>
        <w:t>Investigate customer satisfaction drivers</w:t>
      </w:r>
      <w:r w:rsidRPr="00680B47">
        <w:rPr>
          <w:rFonts w:ascii="Times New Roman" w:hAnsi="Times New Roman" w:cs="Times New Roman"/>
        </w:rPr>
        <w:t xml:space="preserve"> to identify areas for service improvement.</w:t>
      </w:r>
    </w:p>
    <w:p w14:paraId="0F09D290" w14:textId="77777777" w:rsidR="00F95B2E" w:rsidRPr="00680B47" w:rsidRDefault="00F95B2E" w:rsidP="00F95B2E">
      <w:pPr>
        <w:rPr>
          <w:rFonts w:ascii="Times New Roman" w:hAnsi="Times New Roman" w:cs="Times New Roman"/>
          <w:b/>
          <w:bCs/>
        </w:rPr>
      </w:pPr>
      <w:r w:rsidRPr="00680B47">
        <w:rPr>
          <w:rFonts w:ascii="Times New Roman" w:hAnsi="Times New Roman" w:cs="Times New Roman"/>
          <w:b/>
          <w:bCs/>
        </w:rPr>
        <w:t>Conclusion</w:t>
      </w:r>
    </w:p>
    <w:p w14:paraId="06DFA38D" w14:textId="77777777" w:rsidR="00F95B2E" w:rsidRPr="00680B47" w:rsidRDefault="00F95B2E" w:rsidP="00F95B2E">
      <w:pPr>
        <w:rPr>
          <w:rFonts w:ascii="Times New Roman" w:hAnsi="Times New Roman" w:cs="Times New Roman"/>
        </w:rPr>
      </w:pPr>
      <w:r w:rsidRPr="00680B47">
        <w:rPr>
          <w:rFonts w:ascii="Times New Roman" w:hAnsi="Times New Roman" w:cs="Times New Roman"/>
        </w:rPr>
        <w:t xml:space="preserve">The analysis demonstrates that revenue is concentrated among specific card and customer segments, while delinquency risk varies significantly across age and card categories. Combining </w:t>
      </w:r>
      <w:r w:rsidRPr="00680B47">
        <w:rPr>
          <w:rFonts w:ascii="Times New Roman" w:hAnsi="Times New Roman" w:cs="Times New Roman"/>
          <w:b/>
          <w:bCs/>
        </w:rPr>
        <w:t>revenue analysis with customer segmentation and risk analysis</w:t>
      </w:r>
      <w:r w:rsidRPr="00680B47">
        <w:rPr>
          <w:rFonts w:ascii="Times New Roman" w:hAnsi="Times New Roman" w:cs="Times New Roman"/>
        </w:rPr>
        <w:t xml:space="preserve"> can help the business make more targeted and data-driven decisions.</w:t>
      </w:r>
    </w:p>
    <w:p w14:paraId="4C699154" w14:textId="77777777" w:rsidR="00AA2225" w:rsidRPr="00680B47" w:rsidRDefault="00AA2225">
      <w:pPr>
        <w:rPr>
          <w:rFonts w:ascii="Times New Roman" w:hAnsi="Times New Roman" w:cs="Times New Roman"/>
        </w:rPr>
      </w:pPr>
    </w:p>
    <w:sectPr w:rsidR="00AA2225" w:rsidRPr="0068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E1FD2"/>
    <w:multiLevelType w:val="multilevel"/>
    <w:tmpl w:val="055E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72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225"/>
    <w:rsid w:val="00350A70"/>
    <w:rsid w:val="00680B47"/>
    <w:rsid w:val="00AA2225"/>
    <w:rsid w:val="00F9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A1BC4"/>
  <w15:chartTrackingRefBased/>
  <w15:docId w15:val="{97CA6284-DE04-498C-AF48-BED52AF3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Rajbhar</dc:creator>
  <cp:keywords/>
  <dc:description/>
  <cp:lastModifiedBy>Vikas Rajbhar</cp:lastModifiedBy>
  <cp:revision>3</cp:revision>
  <dcterms:created xsi:type="dcterms:W3CDTF">2026-08-08T07:13:00Z</dcterms:created>
  <dcterms:modified xsi:type="dcterms:W3CDTF">2026-08-08T07:14:00Z</dcterms:modified>
</cp:coreProperties>
</file>