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MASTER SERVICES AGREEMENT (Website Development &amp; Maintenance)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Date: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24 August 2025</w:t>
        <w:br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Place: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New Delhi, India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Between</w:t>
      </w:r>
      <w:r>
        <w:rPr>
          <w:sz w:val="20"/>
          <w:szCs w:val="20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Aarav Tech Solutions Private Limited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CIN: U12345DL2020PTC000111, having its registered office at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B-17, Sector 5, Noida, Uttar Pradesh – 201301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India (hereinafter “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Service Provider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”),</w:t>
        <w:br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AND</w:t>
      </w:r>
      <w:r>
        <w:rPr>
          <w:sz w:val="20"/>
          <w:szCs w:val="20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Shree Mahadev Retail LLP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LLPIN: AAX-9876, having its principal place of business at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Shop 12, Kalyan Complex, Laxmi Nagar, New Delhi – 110092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India (hereinafter “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Client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”).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The Service Provider and Client are collectively the “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Parties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” and individually a “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Party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”.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1. Scope of Work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1.1 The Service Provider shall design, develop, and deploy an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e-commerce website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admin panel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for the Client, including:</w:t>
        <w:br/>
        <w:t xml:space="preserve"> (a) Product catalog, cart, checkout, order management, GST invoicing;</w:t>
        <w:br/>
        <w:t xml:space="preserve"> (b) Payment gateway integration (Razorpay/UPI);</w:t>
        <w:br/>
        <w:t xml:space="preserve"> (c) Admin panel (inventory, pricing, discount coupons);</w:t>
        <w:br/>
        <w:t xml:space="preserve"> (d) Basic SEO, analytics integration (GA4), and em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ail/SMS notifications.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1.2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Timeline: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12 weeks from Effective Date, subject to timely inputs from Client.</w:t>
        <w:br/>
        <w:t xml:space="preserve"> 1.3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Deliverables: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Source code, build artifacts, deployment scripts, configuration documentation, and a handover guide.</w:t>
        <w:br/>
        <w:t xml:space="preserve"> 1.4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Out of Scope / Change Requests: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Any features not listed in Clause 1.1 shall be treated as change requests and billed per Clause 4.4.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2. Term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This Agreement becomes effective on the date above and continues until completion of the project and any subscribed maintenance term, unless terminated earlier per Clause 11.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3. Fees &amp; Payments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3.1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Fixed Project Fee: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₹4,50,000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(Rupees Four Lakh Fifty Thousand)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+ applicable GST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.</w:t>
        <w:br/>
        <w:t xml:space="preserve"> 3.2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Payment Milestones:</w:t>
      </w:r>
      <w:r>
        <w:rPr>
          <w:sz w:val="20"/>
          <w:szCs w:val="20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40% (₹1,80,000 + GST) on project kick-off;</w:t>
      </w:r>
      <w:r>
        <w:rPr>
          <w:sz w:val="20"/>
          <w:szCs w:val="20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30% (₹1,35,000 + GST) on staging delivery of core flows;</w:t>
      </w:r>
      <w:r>
        <w:rPr>
          <w:sz w:val="20"/>
          <w:szCs w:val="20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20% (₹90,000 + GST) on UAT sign-off;</w:t>
      </w:r>
      <w:r>
        <w:rPr>
          <w:sz w:val="20"/>
          <w:szCs w:val="20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10% (₹45,000 + GST) on production go-live.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3.3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Maintenance Retainer (optional):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₹25,000/month + GST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for 12 months (post warranty) covering bug fixes, minor enhancements (≤ 8 hours/month), and SLA in Annexure C. Auto-renews yearly unless either Party gives 30 days’ notice.</w:t>
        <w:br/>
        <w:t xml:space="preserve"> 3.4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TDS: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Client may deduct TDS as per law and shall provide TDS certificates within statutory timelines.</w:t>
        <w:br/>
        <w:t xml:space="preserve"> 3.5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Late Payment: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Invoices are due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within 15 days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. Overdue amounts attract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1.5% per month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interest until paid.</w:t>
        <w:br/>
        <w:t xml:space="preserve"> 3.6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Expenses: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Pre-approved out-of-pocket expenses (if any) are reimbursable at actuals against receipts.</w:t>
        <w:br/>
        <w:t xml:space="preserve"> 3.7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Hosting &amp; Third-Party Costs: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Domain, hosting, SMS/email gateways, payment gateway fees are borne by Client.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4. Changes, Acceptance &amp; Warranty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4.1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Change Requests: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Billed at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₹1,800/hour + GST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with prior written approval.</w:t>
        <w:br/>
        <w:t xml:space="preserve"> 4.2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Acceptance: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A deliverable is deemed accepted upon Client’s written sign-off or if no material defects are reported within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7 days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of delivery.</w:t>
        <w:br/>
        <w:t xml:space="preserve"> 4.3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Warranty: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60 days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from go-live for defect fixes on delivered features (no charge). Excludes new features, third-party failures, or environment changes.</w:t>
        <w:br/>
        <w:t xml:space="preserve"> 4.4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Rollbacks: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If Client requests rollback of accepted features, it will be treated as a new change request.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5. Intellectual Property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5.1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Transfer on Payment: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Upon full and final payment of the Fixed Project Fee, the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IP in project-specific deliverables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(code, UI assets created for Client) transfers to Client.</w:t>
        <w:br/>
        <w:t xml:space="preserve"> 5.2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Pre-Existing IP &amp; Libraries: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Service Provider retains all rights in pre-existing tools, frameworks, scripts, and generic libraries; a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non-exclusive, perpetual license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to use such embedded items is granted to Client.</w:t>
        <w:br/>
        <w:t xml:space="preserve"> 5.3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Open Source: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OSS components will be used in accordance with their licenses; license attributions shall be shared.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6. Confidentiality &amp; Data Protection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6.1 Each Party shall keep the other’s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Confidential Information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secret and use it only for performing this Agreement.</w:t>
        <w:br/>
        <w:t xml:space="preserve"> 6.2 The Parties will follow reasonable security practices and comply with applicable Indian data protection laws for any personal data processed.</w:t>
        <w:br/>
        <w:t xml:space="preserve"> 6.3 Confidentiality survives for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3 years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post-termination.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7. Compliance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The Parties shall comply with applicable laws, including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GST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IT Act, and sectoral guidelines. The Service Provider will not process prohibited content or illegal data.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8. Warranties &amp; Disclaimers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8.1 Service Provider warrants that (a) work will be performed in a professional manner; (b) no malware or malicious code will be introduced.</w:t>
        <w:br/>
        <w:t xml:space="preserve"> 8.2 Except as expressly stated, all other warranties are disclaimed to the fullest extent permitted by law, includ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ing implied warranties of merchantability or fitness.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9. Indemnity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9.1 The Service Provider shall indemnify Client against third-party claims alleging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IP infringement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by deliverables created solely by the Service Provider, provided Client promptly notifies and allows the Service Provider to defend.</w:t>
        <w:br/>
        <w:t xml:space="preserve"> 9.2 The foregoing does not apply to Client-provided materials, Client’s modifications, or use outside agreed scope.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10. Limitation of Liability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To the maximum extent permitted by law, a Party’s aggregate liability under this Agreement is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capped at the fees paid or payable by Client to Service Provider in the 12 months preceding the claim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. No Party is liable for indirect, incidental, or consequential damages (loss of profit, revenue, or data).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11. Termination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11.1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For Convenience: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Either Party may terminate with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30 days’ written notice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.</w:t>
        <w:br/>
        <w:t xml:space="preserve"> 11.2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For Cause: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Immediate termination for material breach not cured within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15 days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of notice, or for insolvency/illegality.</w:t>
        <w:br/>
        <w:t xml:space="preserve"> 11.3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Effect: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Client pays for work performed up to termination (including approved change requests). Each Party returns or securely destroys the other’s Confidential Information.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12. Non-Solicitation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During the project and for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6 months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thereafter, neither Party shall directly solicit for employment the other Party’s personnel materially involved in the project, except through general advertisements.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13. Dispute Resolution &amp; Governing Law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13.1 Disputes shall be resolved by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arbitration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under the Arbitration and Conciliation Act, 1996, by a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sole arbitrator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appointed mutually.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Seat: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New Delhi.</w:t>
        <w:br/>
        <w:t xml:space="preserve"> 13.2 This Agreement is governed by the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laws of India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and courts at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New Delhi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have exclusive jurisdiction for interim relief.</w:t>
      </w:r>
      <w:r>
        <w:rPr>
          <w:sz w:val="20"/>
          <w:szCs w:val="2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14. Miscellaneous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14.1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Force Majeure: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Neither Party is liable for delays due to events beyond reasonable control.</w:t>
        <w:br/>
        <w:t xml:space="preserve"> 14.2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Assignment: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Neither Party may assign without written consent, except to an affiliate or in a merger/reorganization.</w:t>
        <w:br/>
        <w:t xml:space="preserve"> 14.3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Notices: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Sent to the addresses stated above (or updated in writing) via email + courier.</w:t>
        <w:br/>
        <w:t xml:space="preserve"> 14.4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Entire Agreement: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Includes Annexures; supersedes prior understandings on the subject. Any amendment must be in writing and signed by both Parties.</w:t>
      </w:r>
      <w:r>
        <w:rPr>
          <w:sz w:val="20"/>
          <w:szCs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ANNEXURE A — Detailed Scope &amp; Tech Stack</w:t>
      </w:r>
      <w:r>
        <w:rPr>
          <w:sz w:val="20"/>
          <w:szCs w:val="20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Frontend: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React + TypeScript, responsive UI, accessibility basics.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Backend: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Node.js/Express APIs (or Firebase Functions), REST endpoints, JWT/Firebase Auth.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Database: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Firestore/RTDB as per Client infra; product, orders, users.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Integrations: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Razorpay, SMS/email gateway, GA4, basic SEO.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Deliverables: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Source code (Git repo), CI/CD pipeline scripts, infra docs, admin manual, test cases, API specs.</w:t>
      </w:r>
      <w:r>
        <w:rPr>
          <w:sz w:val="20"/>
          <w:szCs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ANNEXURE B — Milestones &amp; Acceptance</w:t>
      </w:r>
      <w:r>
        <w:rPr>
          <w:sz w:val="20"/>
          <w:szCs w:val="20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M1 (Week 4):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Wireframes, UI kit, API contracts →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30% complete</w:t>
      </w:r>
      <w:r>
        <w:rPr>
          <w:sz w:val="20"/>
          <w:szCs w:val="20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M2 (Week 8):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Core e-commerce flows on staging →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70% complete</w:t>
      </w:r>
      <w:r>
        <w:rPr>
          <w:sz w:val="20"/>
          <w:szCs w:val="20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M3 (Week 10):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UAT build with payment &amp; emails →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90% complete</w:t>
      </w:r>
      <w:r>
        <w:rPr>
          <w:sz w:val="20"/>
          <w:szCs w:val="20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M4 (Week 12):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Production go-live, handover docs →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100% complete</w:t>
        <w:br/>
        <w:t xml:space="preserve">Acceptance: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See Clause 4.2.</w:t>
      </w:r>
      <w:r>
        <w:rPr>
          <w:sz w:val="20"/>
          <w:szCs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ANNEXURE C — Support &amp; SLA (for Retainer)</w:t>
      </w:r>
      <w:r>
        <w:rPr>
          <w:sz w:val="20"/>
          <w:szCs w:val="20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Support Window: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Mon–Sat, 10:00–19:00 IST (excluding national holidays).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Severities &amp; Targets:</w:t>
      </w:r>
      <w:r>
        <w:rPr>
          <w:sz w:val="20"/>
          <w:szCs w:val="20"/>
        </w:rPr>
      </w:r>
    </w:p>
    <w:p>
      <w:pPr>
        <w:pStyle w:val="668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P1 (Production down):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Response 2h, Workaround 8h, Fix 24h</w:t>
      </w:r>
      <w:r>
        <w:rPr>
          <w:sz w:val="20"/>
          <w:szCs w:val="20"/>
        </w:rPr>
      </w:r>
    </w:p>
    <w:p>
      <w:pPr>
        <w:pStyle w:val="668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P2 (Critical feature broken):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Response 4h, Fix 2 business days</w:t>
      </w:r>
      <w:r>
        <w:rPr>
          <w:sz w:val="20"/>
          <w:szCs w:val="20"/>
        </w:rPr>
      </w:r>
    </w:p>
    <w:p>
      <w:pPr>
        <w:pStyle w:val="668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P3 (Minor bug/UI):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Response 1 business day, Fix in next release</w:t>
      </w:r>
      <w:r>
        <w:rPr>
          <w:sz w:val="20"/>
          <w:szCs w:val="20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Uptime: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If hosting is managed by Client/third-party, uptime obligations exclude infra/provider outages.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Exclusions: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New features, major redesigns, third-party failures, or issues caused by Client environment changes.</w:t>
      </w:r>
      <w:r>
        <w:rPr>
          <w:sz w:val="20"/>
          <w:szCs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ANNEXURE D — Invoicing &amp; Bank Details</w:t>
      </w:r>
      <w:r>
        <w:rPr>
          <w:sz w:val="20"/>
          <w:szCs w:val="20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Billing Entity: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Aarav Tech Solutions Private Limited</w:t>
      </w:r>
      <w:r>
        <w:rPr>
          <w:sz w:val="20"/>
          <w:szCs w:val="20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GSTIN: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07ABCDE1234F1Z5</w:t>
      </w:r>
      <w:r>
        <w:rPr>
          <w:sz w:val="20"/>
          <w:szCs w:val="20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Bank: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HDFC Bank, Branch: Noida Sector 18</w:t>
      </w:r>
      <w:r>
        <w:rPr>
          <w:sz w:val="20"/>
          <w:szCs w:val="20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A/c No.: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12345678901234</w:t>
      </w:r>
      <w:r>
        <w:rPr>
          <w:sz w:val="20"/>
          <w:szCs w:val="20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IFSC: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HDFC0000123</w:t>
      </w:r>
      <w:r>
        <w:rPr>
          <w:sz w:val="20"/>
          <w:szCs w:val="20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UPI: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aaravtech@hdfcbank</w:t>
      </w:r>
      <w:r>
        <w:rPr>
          <w:sz w:val="20"/>
          <w:szCs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SIGNATURES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For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Aarav Tech Solutions Private Limited</w:t>
        <w:br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Name: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Aarav Mehta</w:t>
        <w:br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Title: Director</w:t>
        <w:br/>
        <w:t xml:space="preserve"> Signature: ____________________ Date: _______________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For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Shree Mahadev Retail LLP</w:t>
        <w:br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Name: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Priya Sharma</w:t>
        <w:br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Title: Designated Partner</w:t>
        <w:br/>
        <w:t xml:space="preserve"> Signature: ____________________ Date: _______________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Witnesses:</w:t>
      </w:r>
      <w:r>
        <w:rPr>
          <w:sz w:val="20"/>
          <w:szCs w:val="20"/>
        </w:rPr>
      </w:r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Rohit Verma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New Delhi — Signature: __________</w:t>
      </w:r>
      <w:r>
        <w:rPr>
          <w:sz w:val="20"/>
          <w:szCs w:val="20"/>
        </w:rPr>
      </w:r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Neha Gupta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Noida — Signature: __________</w:t>
      </w: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2025-08-28T19:30:45Z</dcterms:modified>
</cp:coreProperties>
</file>