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347750B9" w:rsidR="004A4AC8" w:rsidRDefault="004A4AC8" w:rsidP="00683576">
      <w:pPr>
        <w:tabs>
          <w:tab w:val="left" w:pos="10710"/>
        </w:tabs>
      </w:pPr>
    </w:p>
    <w:p w14:paraId="60608F30" w14:textId="7362174D" w:rsidR="008E7346" w:rsidRDefault="008E7346" w:rsidP="00683576">
      <w:pPr>
        <w:tabs>
          <w:tab w:val="left" w:pos="10710"/>
        </w:tabs>
      </w:pPr>
    </w:p>
    <w:p w14:paraId="1524D046" w14:textId="4056C51A" w:rsidR="008E7346" w:rsidRDefault="008E7346" w:rsidP="00683576">
      <w:pPr>
        <w:tabs>
          <w:tab w:val="left" w:pos="10710"/>
        </w:tabs>
      </w:pPr>
    </w:p>
    <w:p w14:paraId="5BD44EB6" w14:textId="77777777" w:rsidR="008E7346" w:rsidRDefault="008E7346" w:rsidP="00683576">
      <w:pPr>
        <w:tabs>
          <w:tab w:val="left" w:pos="10710"/>
        </w:tabs>
      </w:pPr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0BC9BB3A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5300" cy="2070100"/>
                <wp:effectExtent l="38100" t="381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2A9A78D1" w:rsidR="004A4AC8" w:rsidRPr="00847E7A" w:rsidRDefault="00EA70DD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7E7A">
                              <w:rPr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4A4AC8" w:rsidRPr="00847E7A">
                              <w:rPr>
                                <w:sz w:val="44"/>
                                <w:szCs w:val="44"/>
                              </w:rPr>
                              <w:t>Standard Operating Procedure</w:t>
                            </w:r>
                            <w:r w:rsidR="004A4AC8" w:rsidRPr="00251070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251070" w:rsidRPr="00251070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RNA/DNA/miRNA/cDNA quantification using Qubit Fluorimeter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37pt;margin-top:17.95pt;width:539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&#13;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2A9A78D1" w:rsidR="004A4AC8" w:rsidRPr="00847E7A" w:rsidRDefault="00EA70DD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847E7A">
                        <w:rPr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847E7A">
                        <w:rPr>
                          <w:sz w:val="44"/>
                          <w:szCs w:val="44"/>
                        </w:rPr>
                        <w:t>Standard Operating Procedure</w:t>
                      </w:r>
                      <w:r w:rsidR="004A4AC8" w:rsidRPr="00251070">
                        <w:rPr>
                          <w:rFonts w:cstheme="minorHAnsi"/>
                          <w:sz w:val="44"/>
                          <w:szCs w:val="44"/>
                        </w:rPr>
                        <w:t xml:space="preserve">: </w:t>
                      </w:r>
                      <w:r w:rsidR="00251070" w:rsidRPr="00251070">
                        <w:rPr>
                          <w:rFonts w:cstheme="minorHAnsi"/>
                          <w:sz w:val="44"/>
                          <w:szCs w:val="44"/>
                        </w:rPr>
                        <w:t>RNA/DNA/miRNA/cDNA quantification using Qubit Fluorimeter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 w:rsidP="00683576">
      <w:pPr>
        <w:ind w:left="90"/>
      </w:pPr>
    </w:p>
    <w:p w14:paraId="46C7E337" w14:textId="77777777" w:rsidR="004A4AC8" w:rsidRDefault="004A4AC8"/>
    <w:p w14:paraId="7D648E37" w14:textId="77777777" w:rsidR="004A4AC8" w:rsidRDefault="004A4AC8"/>
    <w:p w14:paraId="15B0E100" w14:textId="56DC27EE" w:rsidR="004A4AC8" w:rsidRPr="00251070" w:rsidRDefault="00251070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 w:rsidRPr="00251070">
        <w:rPr>
          <w:i/>
          <w:iCs/>
          <w:color w:val="595959" w:themeColor="text1" w:themeTint="A6"/>
          <w:sz w:val="28"/>
          <w:szCs w:val="28"/>
        </w:rPr>
        <w:t>May 2020</w:t>
      </w:r>
    </w:p>
    <w:p w14:paraId="3DB46AC8" w14:textId="13F62E8F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251070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251070" w:rsidRPr="00251070">
        <w:rPr>
          <w:i/>
          <w:iCs/>
          <w:color w:val="595959" w:themeColor="text1" w:themeTint="A6"/>
          <w:sz w:val="28"/>
          <w:szCs w:val="28"/>
        </w:rPr>
        <w:t>1.00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32FE0F8E" w14:textId="6A727E15" w:rsidR="00C20E4B" w:rsidRDefault="00C20E4B" w:rsidP="00DB55A1">
      <w:pPr>
        <w:pStyle w:val="Heading1"/>
        <w:rPr>
          <w:color w:val="003399"/>
          <w:sz w:val="44"/>
          <w:szCs w:val="44"/>
        </w:rPr>
      </w:pPr>
      <w:bookmarkStart w:id="0" w:name="_Toc51854616"/>
    </w:p>
    <w:p w14:paraId="455BD37B" w14:textId="6ECCE614" w:rsidR="00C20E4B" w:rsidRDefault="00C20E4B" w:rsidP="00C20E4B"/>
    <w:p w14:paraId="45A389A6" w14:textId="1E49DA89" w:rsidR="00C20E4B" w:rsidRDefault="00C20E4B" w:rsidP="00C20E4B"/>
    <w:p w14:paraId="23944889" w14:textId="7F658E9E" w:rsidR="009A2282" w:rsidRPr="00B060D8" w:rsidRDefault="004A4AC8" w:rsidP="008E7346">
      <w:pPr>
        <w:tabs>
          <w:tab w:val="left" w:pos="3600"/>
        </w:tabs>
        <w:rPr>
          <w:rFonts w:asciiTheme="majorHAnsi" w:hAnsiTheme="majorHAnsi" w:cstheme="majorHAnsi"/>
        </w:rPr>
      </w:pPr>
      <w:r w:rsidRPr="00B060D8">
        <w:rPr>
          <w:rFonts w:asciiTheme="majorHAnsi" w:hAnsiTheme="majorHAnsi" w:cstheme="maj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6480"/>
      </w:tblGrid>
      <w:tr w:rsidR="0039176D" w:rsidRPr="00EA70DD" w14:paraId="40C5A7E1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648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4E12A459" w:rsidR="0039176D" w:rsidRPr="00977F04" w:rsidRDefault="00251070" w:rsidP="004A4AC8">
            <w:pPr>
              <w:rPr>
                <w:b w:val="0"/>
                <w:bCs w:val="0"/>
                <w:color w:val="595959" w:themeColor="text1" w:themeTint="A6"/>
                <w:highlight w:val="yellow"/>
              </w:rPr>
            </w:pPr>
            <w:r w:rsidRPr="00251070">
              <w:rPr>
                <w:b w:val="0"/>
                <w:bCs w:val="0"/>
                <w:color w:val="595959" w:themeColor="text1" w:themeTint="A6"/>
              </w:rPr>
              <w:t>GL-SOP-4.1</w:t>
            </w:r>
          </w:p>
        </w:tc>
        <w:tc>
          <w:tcPr>
            <w:tcW w:w="1080" w:type="dxa"/>
          </w:tcPr>
          <w:p w14:paraId="472B3320" w14:textId="31D253BF" w:rsidR="0039176D" w:rsidRPr="00977F04" w:rsidRDefault="00251070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1.00</w:t>
            </w:r>
          </w:p>
        </w:tc>
        <w:tc>
          <w:tcPr>
            <w:tcW w:w="1620" w:type="dxa"/>
          </w:tcPr>
          <w:p w14:paraId="5F5524AB" w14:textId="027DD9C4" w:rsidR="0039176D" w:rsidRPr="00977F04" w:rsidRDefault="00251070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6480" w:type="dxa"/>
          </w:tcPr>
          <w:p w14:paraId="606CB05A" w14:textId="3117F192" w:rsidR="0039176D" w:rsidRPr="00977F04" w:rsidRDefault="0039176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</w:tr>
      <w:tr w:rsidR="0039176D" w:rsidRPr="00EA70DD" w14:paraId="40CD0BE8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C20E4B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C20E4B">
        <w:rPr>
          <w:color w:val="003399"/>
          <w:sz w:val="44"/>
          <w:szCs w:val="44"/>
        </w:rPr>
        <w:t>Scope and Purpose</w:t>
      </w:r>
      <w:bookmarkEnd w:id="1"/>
    </w:p>
    <w:p w14:paraId="4BDA850F" w14:textId="77777777" w:rsidR="00251070" w:rsidRPr="00251070" w:rsidRDefault="00251070" w:rsidP="00251070">
      <w:pPr>
        <w:rPr>
          <w:rFonts w:cstheme="minorHAnsi"/>
        </w:rPr>
      </w:pPr>
      <w:bookmarkStart w:id="2" w:name="_Toc51854619"/>
      <w:r w:rsidRPr="00251070">
        <w:rPr>
          <w:rFonts w:cstheme="minorHAnsi"/>
        </w:rPr>
        <w:t xml:space="preserve">This procedure describes the steps required to perform quantification of RNA/DNA or cDNA using the Invitrogen (Thermo Fisher Scientific) fluorimeter – Qubit and the Qubit kits. </w:t>
      </w:r>
      <w:proofErr w:type="spellStart"/>
      <w:r w:rsidRPr="00251070">
        <w:rPr>
          <w:rFonts w:cstheme="minorHAnsi"/>
        </w:rPr>
        <w:t>Flourimetric</w:t>
      </w:r>
      <w:proofErr w:type="spellEnd"/>
      <w:r w:rsidRPr="00251070">
        <w:rPr>
          <w:rFonts w:cstheme="minorHAnsi"/>
        </w:rPr>
        <w:t xml:space="preserve"> methods are advantageous over spectrophotometric methods since they are more precise and specific to the molecule being measured.</w:t>
      </w:r>
    </w:p>
    <w:p w14:paraId="5A191E59" w14:textId="77777777" w:rsidR="009A2282" w:rsidRPr="00C20E4B" w:rsidRDefault="00EA70DD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 xml:space="preserve">Equipment </w:t>
      </w:r>
      <w:r w:rsidR="009A2282" w:rsidRPr="00C20E4B">
        <w:rPr>
          <w:color w:val="003399"/>
          <w:sz w:val="44"/>
          <w:szCs w:val="44"/>
        </w:rPr>
        <w:t>and Consumable</w:t>
      </w:r>
      <w:r w:rsidRPr="00C20E4B">
        <w:rPr>
          <w:color w:val="003399"/>
          <w:sz w:val="44"/>
          <w:szCs w:val="44"/>
        </w:rPr>
        <w:t>s</w:t>
      </w:r>
      <w:bookmarkEnd w:id="2"/>
    </w:p>
    <w:p w14:paraId="4E7592EF" w14:textId="77777777" w:rsidR="00251070" w:rsidRPr="00251070" w:rsidRDefault="00251070" w:rsidP="0025107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bookmarkStart w:id="3" w:name="_Toc51854620"/>
      <w:r w:rsidRPr="00251070">
        <w:rPr>
          <w:rFonts w:cstheme="minorHAnsi"/>
        </w:rPr>
        <w:t>Qubit Assay optical tubes (Thermo Fisher Scientific, Cat#Q32856)</w:t>
      </w:r>
    </w:p>
    <w:p w14:paraId="0F92B3B1" w14:textId="77777777" w:rsidR="00251070" w:rsidRPr="00251070" w:rsidRDefault="00251070" w:rsidP="0025107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DNA </w:t>
      </w:r>
      <w:proofErr w:type="spellStart"/>
      <w:r w:rsidRPr="00251070">
        <w:rPr>
          <w:rFonts w:cstheme="minorHAnsi"/>
        </w:rPr>
        <w:t>LoBind</w:t>
      </w:r>
      <w:proofErr w:type="spellEnd"/>
      <w:r w:rsidRPr="00251070">
        <w:rPr>
          <w:rFonts w:cstheme="minorHAnsi"/>
        </w:rPr>
        <w:t xml:space="preserve"> Microcentrifuge Tubes1.5mL (Thermo Scientific, Cat#13-698-791)</w:t>
      </w:r>
    </w:p>
    <w:p w14:paraId="0A04511D" w14:textId="77777777" w:rsidR="00251070" w:rsidRPr="00251070" w:rsidRDefault="00251070" w:rsidP="0025107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251070">
        <w:rPr>
          <w:rFonts w:cstheme="minorHAnsi"/>
        </w:rPr>
        <w:t>Kimwipes</w:t>
      </w:r>
      <w:proofErr w:type="spellEnd"/>
      <w:r w:rsidRPr="00251070">
        <w:rPr>
          <w:rFonts w:cstheme="minorHAnsi"/>
        </w:rPr>
        <w:t xml:space="preserve"> (Fisher Scientific, Cat#06-666 or similar) </w:t>
      </w:r>
    </w:p>
    <w:p w14:paraId="6D09B7EA" w14:textId="77777777" w:rsidR="00934AC0" w:rsidRPr="00C20E4B" w:rsidRDefault="00934AC0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>Reagents</w:t>
      </w:r>
      <w:bookmarkEnd w:id="3"/>
    </w:p>
    <w:p w14:paraId="16E272D1" w14:textId="77777777" w:rsidR="00251070" w:rsidRPr="00251070" w:rsidRDefault="00251070" w:rsidP="00251070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bCs/>
        </w:rPr>
      </w:pPr>
      <w:r w:rsidRPr="00251070">
        <w:rPr>
          <w:rFonts w:cstheme="minorHAnsi"/>
          <w:bCs/>
        </w:rPr>
        <w:t>One of the following Qubit assays:</w:t>
      </w:r>
    </w:p>
    <w:p w14:paraId="085B6717" w14:textId="77777777" w:rsidR="00251070" w:rsidRPr="00251070" w:rsidRDefault="00251070" w:rsidP="00251070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bCs/>
        </w:rPr>
      </w:pPr>
      <w:r w:rsidRPr="00251070">
        <w:rPr>
          <w:rFonts w:cstheme="minorHAnsi"/>
          <w:bCs/>
        </w:rPr>
        <w:t>Qubit RNA BR Assay Kit (</w:t>
      </w:r>
      <w:r w:rsidRPr="00251070">
        <w:rPr>
          <w:rFonts w:cstheme="minorHAnsi"/>
        </w:rPr>
        <w:t>Thermo Fisher Cat</w:t>
      </w:r>
      <w:r w:rsidRPr="00251070">
        <w:rPr>
          <w:rFonts w:cstheme="minorHAnsi"/>
          <w:bCs/>
        </w:rPr>
        <w:t xml:space="preserve">#Q10210/Q10211) </w:t>
      </w:r>
    </w:p>
    <w:p w14:paraId="358E8272" w14:textId="77777777" w:rsidR="00251070" w:rsidRPr="00251070" w:rsidRDefault="00251070" w:rsidP="00251070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bCs/>
        </w:rPr>
      </w:pPr>
      <w:r w:rsidRPr="00251070">
        <w:rPr>
          <w:rFonts w:cstheme="minorHAnsi"/>
          <w:bCs/>
        </w:rPr>
        <w:t>Qubit RNA HS Assay Kit (</w:t>
      </w:r>
      <w:r w:rsidRPr="00251070">
        <w:rPr>
          <w:rFonts w:cstheme="minorHAnsi"/>
        </w:rPr>
        <w:t>Thermo Fisher Cat</w:t>
      </w:r>
      <w:r w:rsidRPr="00251070">
        <w:rPr>
          <w:rFonts w:cstheme="minorHAnsi"/>
          <w:bCs/>
        </w:rPr>
        <w:t>Q32852/Q32855)</w:t>
      </w:r>
    </w:p>
    <w:p w14:paraId="372F25E2" w14:textId="77777777" w:rsidR="00251070" w:rsidRPr="00251070" w:rsidRDefault="00251070" w:rsidP="00251070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bCs/>
        </w:rPr>
      </w:pPr>
      <w:r w:rsidRPr="00251070">
        <w:rPr>
          <w:rFonts w:cstheme="minorHAnsi"/>
          <w:bCs/>
        </w:rPr>
        <w:t>Qubit dsDNA BR Assay Kit (</w:t>
      </w:r>
      <w:r w:rsidRPr="00251070">
        <w:rPr>
          <w:rFonts w:cstheme="minorHAnsi"/>
        </w:rPr>
        <w:t>Thermo Fisher Cat</w:t>
      </w:r>
      <w:r w:rsidRPr="00251070">
        <w:rPr>
          <w:rFonts w:cstheme="minorHAnsi"/>
          <w:bCs/>
        </w:rPr>
        <w:t>Q32850/Q32853)</w:t>
      </w:r>
    </w:p>
    <w:p w14:paraId="26CD1A1B" w14:textId="77777777" w:rsidR="00251070" w:rsidRPr="00251070" w:rsidRDefault="00251070" w:rsidP="00251070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bCs/>
        </w:rPr>
      </w:pPr>
      <w:r w:rsidRPr="00251070">
        <w:rPr>
          <w:rFonts w:cstheme="minorHAnsi"/>
          <w:bCs/>
        </w:rPr>
        <w:t>Qubit dsDNA HS Assay Kit (</w:t>
      </w:r>
      <w:r w:rsidRPr="00251070">
        <w:rPr>
          <w:rFonts w:cstheme="minorHAnsi"/>
        </w:rPr>
        <w:t>Thermo Fisher Cat</w:t>
      </w:r>
      <w:r w:rsidRPr="00251070">
        <w:rPr>
          <w:rFonts w:cstheme="minorHAnsi"/>
          <w:bCs/>
        </w:rPr>
        <w:t>#Q32851/Q32854)</w:t>
      </w:r>
    </w:p>
    <w:p w14:paraId="256F50D5" w14:textId="77777777" w:rsidR="00251070" w:rsidRPr="00251070" w:rsidRDefault="00251070" w:rsidP="00251070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bCs/>
        </w:rPr>
      </w:pPr>
      <w:r w:rsidRPr="00251070">
        <w:rPr>
          <w:rFonts w:cstheme="minorHAnsi"/>
          <w:bCs/>
        </w:rPr>
        <w:t>Qubit miRNA Assay Kit (</w:t>
      </w:r>
      <w:r w:rsidRPr="00251070">
        <w:rPr>
          <w:rFonts w:cstheme="minorHAnsi"/>
        </w:rPr>
        <w:t>Thermo Fisher Cat</w:t>
      </w:r>
      <w:r w:rsidRPr="00251070">
        <w:rPr>
          <w:rFonts w:cstheme="minorHAnsi"/>
          <w:bCs/>
        </w:rPr>
        <w:t>#Q32880/Q32881)</w:t>
      </w:r>
    </w:p>
    <w:p w14:paraId="3A7CB8BF" w14:textId="185B52C4" w:rsidR="00251070" w:rsidRDefault="00251070" w:rsidP="00251070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251070">
        <w:rPr>
          <w:rFonts w:cstheme="minorHAnsi"/>
        </w:rPr>
        <w:t>Qubit 1X dsDNA HS Assay Kit (Thermo Fisher Cat#Q33231/30 – preferred for cDNA library quantification)</w:t>
      </w:r>
    </w:p>
    <w:p w14:paraId="0282E7FF" w14:textId="77777777" w:rsidR="00251070" w:rsidRPr="00251070" w:rsidRDefault="00251070" w:rsidP="00251070">
      <w:pPr>
        <w:spacing w:after="0" w:line="240" w:lineRule="auto"/>
        <w:rPr>
          <w:rFonts w:cstheme="minorHAnsi"/>
        </w:rPr>
      </w:pPr>
    </w:p>
    <w:p w14:paraId="5DC84828" w14:textId="77777777" w:rsidR="00251070" w:rsidRPr="00251070" w:rsidRDefault="00251070" w:rsidP="00251070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bCs/>
        </w:rPr>
      </w:pPr>
      <w:r w:rsidRPr="00251070">
        <w:rPr>
          <w:rFonts w:cstheme="minorHAnsi"/>
          <w:bCs/>
        </w:rPr>
        <w:t xml:space="preserve">All kits listed come with the appropriate standards. </w:t>
      </w:r>
    </w:p>
    <w:p w14:paraId="67851F63" w14:textId="77777777" w:rsidR="00251070" w:rsidRPr="00251070" w:rsidRDefault="00251070" w:rsidP="00251070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bCs/>
        </w:rPr>
      </w:pPr>
      <w:r w:rsidRPr="00251070">
        <w:rPr>
          <w:rFonts w:cstheme="minorHAnsi"/>
          <w:bCs/>
        </w:rPr>
        <w:t xml:space="preserve">Choose a kit based on the type of extract is being quantified and the Quantifiable Range of the kits presented in </w:t>
      </w:r>
      <w:r w:rsidRPr="00251070">
        <w:rPr>
          <w:rFonts w:cstheme="minorHAnsi"/>
          <w:b/>
          <w:bCs/>
        </w:rPr>
        <w:t>Figure 1.</w:t>
      </w:r>
      <w:r w:rsidRPr="00251070">
        <w:rPr>
          <w:rFonts w:cstheme="minorHAnsi"/>
          <w:bCs/>
        </w:rPr>
        <w:t xml:space="preserve"> </w:t>
      </w:r>
    </w:p>
    <w:p w14:paraId="0F820D17" w14:textId="2734BDC0" w:rsidR="00251070" w:rsidRPr="00251070" w:rsidRDefault="00251070" w:rsidP="00251070">
      <w:pPr>
        <w:spacing w:line="360" w:lineRule="auto"/>
        <w:rPr>
          <w:rFonts w:cstheme="minorHAnsi"/>
        </w:rPr>
      </w:pPr>
      <w:r w:rsidRPr="00251070">
        <w:rPr>
          <w:rFonts w:cstheme="minorHAnsi"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8EFFE5" wp14:editId="5E9B0604">
            <wp:simplePos x="0" y="0"/>
            <wp:positionH relativeFrom="column">
              <wp:posOffset>66675</wp:posOffset>
            </wp:positionH>
            <wp:positionV relativeFrom="paragraph">
              <wp:posOffset>169545</wp:posOffset>
            </wp:positionV>
            <wp:extent cx="3295650" cy="2355850"/>
            <wp:effectExtent l="0" t="0" r="0" b="6350"/>
            <wp:wrapTopAndBottom/>
            <wp:docPr id="2" name="Picture 2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imelin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9565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1070">
        <w:rPr>
          <w:color w:val="003399"/>
        </w:rPr>
        <w:t xml:space="preserve">Figure 1: </w:t>
      </w:r>
      <w:r w:rsidRPr="00251070">
        <w:t>Comparison of sample concentration ranges for the Qubit Assays</w:t>
      </w:r>
    </w:p>
    <w:p w14:paraId="5BC72979" w14:textId="5B975478" w:rsidR="00251070" w:rsidRPr="00251070" w:rsidRDefault="00251070" w:rsidP="00251070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</w:rPr>
      </w:pPr>
      <w:proofErr w:type="spellStart"/>
      <w:r w:rsidRPr="00251070">
        <w:rPr>
          <w:rFonts w:cstheme="minorHAnsi"/>
        </w:rPr>
        <w:t>RNAseZap</w:t>
      </w:r>
      <w:proofErr w:type="spellEnd"/>
      <w:r w:rsidRPr="00251070">
        <w:rPr>
          <w:rFonts w:cstheme="minorHAnsi"/>
        </w:rPr>
        <w:t xml:space="preserve"> decontamination solution (Thermo Fisher Scientific, Cat#AM9780 or Cat#AM9782 or Cat#AM9784 or similar) </w:t>
      </w:r>
    </w:p>
    <w:p w14:paraId="02BA0589" w14:textId="6952D3E3" w:rsidR="006F5082" w:rsidRDefault="006F5082" w:rsidP="006F5082">
      <w:pPr>
        <w:pStyle w:val="Heading1"/>
        <w:rPr>
          <w:color w:val="0099CC"/>
          <w:sz w:val="44"/>
          <w:szCs w:val="44"/>
        </w:rPr>
      </w:pPr>
      <w:r w:rsidRPr="00C20E4B">
        <w:rPr>
          <w:color w:val="003399"/>
          <w:sz w:val="44"/>
          <w:szCs w:val="44"/>
        </w:rPr>
        <w:t>General Practices and Notes</w:t>
      </w:r>
    </w:p>
    <w:p w14:paraId="342AE409" w14:textId="659DC274" w:rsidR="00251070" w:rsidRPr="00251070" w:rsidRDefault="00251070" w:rsidP="00251070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bCs/>
        </w:rPr>
      </w:pPr>
      <w:r w:rsidRPr="00251070">
        <w:rPr>
          <w:rFonts w:cstheme="minorHAnsi"/>
          <w:bCs/>
        </w:rPr>
        <w:t xml:space="preserve">Store all kit reagents at RT and insert all assay tubes into the instrument only for as much time as it takes the instrument to measure the fluorescence. </w:t>
      </w:r>
    </w:p>
    <w:p w14:paraId="6599E385" w14:textId="1E9CF4B8" w:rsidR="00BC6DCD" w:rsidRPr="00251070" w:rsidRDefault="00251070" w:rsidP="0025107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Cs/>
        </w:rPr>
      </w:pPr>
      <w:r w:rsidRPr="00251070">
        <w:rPr>
          <w:rFonts w:cstheme="minorHAnsi"/>
          <w:bCs/>
        </w:rPr>
        <w:t xml:space="preserve">Make sure that the Qubit had been calibrated for the specific assay within the last month. If calibration is required, refer to </w:t>
      </w:r>
      <w:r w:rsidRPr="00251070">
        <w:rPr>
          <w:rFonts w:cstheme="minorHAnsi"/>
          <w:b/>
        </w:rPr>
        <w:t xml:space="preserve">Appendix A. </w:t>
      </w:r>
      <w:r w:rsidRPr="00251070">
        <w:rPr>
          <w:rFonts w:cstheme="minorHAnsi"/>
          <w:bCs/>
        </w:rPr>
        <w:t xml:space="preserve">If no calibration required, proceed with sample preparation steps below. </w:t>
      </w:r>
    </w:p>
    <w:p w14:paraId="1650FEF2" w14:textId="1666B30D" w:rsidR="00C97FE5" w:rsidRDefault="00C97FE5" w:rsidP="00DB55A1">
      <w:pPr>
        <w:pStyle w:val="Heading1"/>
        <w:rPr>
          <w:color w:val="003399"/>
          <w:sz w:val="44"/>
          <w:szCs w:val="44"/>
        </w:rPr>
      </w:pPr>
      <w:bookmarkStart w:id="4" w:name="_Toc51854621"/>
      <w:r>
        <w:rPr>
          <w:color w:val="003399"/>
          <w:sz w:val="44"/>
          <w:szCs w:val="44"/>
        </w:rPr>
        <w:t>Procedure Workflow</w:t>
      </w:r>
    </w:p>
    <w:p w14:paraId="7CEFC52C" w14:textId="5AD81A66" w:rsidR="00C97FE5" w:rsidRPr="00C97FE5" w:rsidRDefault="00C97FE5" w:rsidP="00C97FE5">
      <w:pPr>
        <w:rPr>
          <w:color w:val="595959" w:themeColor="text1" w:themeTint="A6"/>
        </w:rPr>
      </w:pPr>
      <w:r w:rsidRPr="00C97FE5">
        <w:rPr>
          <w:color w:val="595959" w:themeColor="text1" w:themeTint="A6"/>
          <w:highlight w:val="yellow"/>
        </w:rPr>
        <w:t>Add your workflow diagram here.</w:t>
      </w:r>
    </w:p>
    <w:p w14:paraId="4681BB08" w14:textId="55D2E2BB" w:rsidR="00EA70DD" w:rsidRPr="00C20E4B" w:rsidRDefault="00EA70DD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>Procedure</w:t>
      </w:r>
      <w:bookmarkEnd w:id="4"/>
    </w:p>
    <w:p w14:paraId="7CC208EC" w14:textId="77777777" w:rsidR="00251070" w:rsidRPr="00943530" w:rsidRDefault="00251070" w:rsidP="00251070">
      <w:pPr>
        <w:spacing w:line="360" w:lineRule="auto"/>
        <w:rPr>
          <w:rFonts w:cstheme="minorHAnsi"/>
        </w:rPr>
      </w:pPr>
      <w:r w:rsidRPr="00943530">
        <w:rPr>
          <w:rFonts w:cstheme="minorHAnsi"/>
          <w:b/>
        </w:rPr>
        <w:t>Preparing samples</w:t>
      </w:r>
    </w:p>
    <w:p w14:paraId="3ADD3035" w14:textId="77777777" w:rsidR="00251070" w:rsidRPr="00251070" w:rsidRDefault="00251070" w:rsidP="00251070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u w:val="single"/>
        </w:rPr>
      </w:pPr>
      <w:r w:rsidRPr="00251070">
        <w:rPr>
          <w:rFonts w:cstheme="minorHAnsi"/>
        </w:rPr>
        <w:t xml:space="preserve">If working with more than 32 samples, consider conducting the measurement in 2 batches to avoid photobleaching of the dye in the solution while the samples are incubating. </w:t>
      </w:r>
    </w:p>
    <w:p w14:paraId="528F3F70" w14:textId="77777777" w:rsidR="00251070" w:rsidRPr="00251070" w:rsidRDefault="00251070" w:rsidP="002510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u w:val="single"/>
        </w:rPr>
      </w:pPr>
      <w:r w:rsidRPr="00251070">
        <w:rPr>
          <w:rFonts w:cstheme="minorHAnsi"/>
        </w:rPr>
        <w:t xml:space="preserve">Set up a Qubit assay tube for each sample by labeling the tubes and arranging them on a tube rack. </w:t>
      </w:r>
    </w:p>
    <w:p w14:paraId="5C8191E3" w14:textId="77777777" w:rsidR="00251070" w:rsidRPr="00251070" w:rsidRDefault="00251070" w:rsidP="002510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Prepare Qubit working solution by diluting the Qubit dye in Qubit buffer at 1:200 ratio. Prepare 200ul of working solution for each sample. Include 10% overage to account for pipetting bias. </w:t>
      </w:r>
    </w:p>
    <w:p w14:paraId="71C6A860" w14:textId="77777777" w:rsidR="00251070" w:rsidRPr="00251070" w:rsidRDefault="00251070" w:rsidP="002510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lastRenderedPageBreak/>
        <w:t xml:space="preserve">Into each of the assay tubes combine 198uL of working solution prepared in step 2 with 2uL of appropriate sample: </w:t>
      </w:r>
    </w:p>
    <w:p w14:paraId="6D364ED4" w14:textId="3E209096" w:rsidR="00251070" w:rsidRPr="00251070" w:rsidRDefault="00251070" w:rsidP="00251070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Add 198uL of Working solution to all qubit tubes.</w:t>
      </w:r>
    </w:p>
    <w:p w14:paraId="577B00D8" w14:textId="77777777" w:rsidR="00251070" w:rsidRPr="00251070" w:rsidRDefault="00251070" w:rsidP="00251070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To obtain precise measurement of concentration, the ratio of working solution to sample has to be exact. </w:t>
      </w:r>
      <w:r w:rsidRPr="00251070">
        <w:rPr>
          <w:rFonts w:cstheme="minorHAnsi"/>
          <w:b/>
          <w:bCs/>
        </w:rPr>
        <w:t>Optional step</w:t>
      </w:r>
      <w:r w:rsidRPr="00251070">
        <w:rPr>
          <w:rFonts w:cstheme="minorHAnsi"/>
        </w:rPr>
        <w:t xml:space="preserve">: Using a pipette, measure a few selected working solution tubes from step 3a to make sure that the volume is precisely 198uL. </w:t>
      </w:r>
    </w:p>
    <w:p w14:paraId="24DC329D" w14:textId="77777777" w:rsidR="00251070" w:rsidRPr="00251070" w:rsidRDefault="00251070" w:rsidP="00251070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Add 2uL of test sample into their designated tube with working solution.  </w:t>
      </w:r>
    </w:p>
    <w:p w14:paraId="2E8E8A34" w14:textId="77777777" w:rsidR="00251070" w:rsidRPr="00251070" w:rsidRDefault="00251070" w:rsidP="002510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Vortex tubes for 3sec.</w:t>
      </w:r>
    </w:p>
    <w:p w14:paraId="3CED3DBC" w14:textId="1448CFEC" w:rsidR="00251070" w:rsidRPr="00943530" w:rsidRDefault="00251070" w:rsidP="002510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943530">
        <w:rPr>
          <w:rFonts w:cstheme="minorHAnsi"/>
        </w:rPr>
        <w:t xml:space="preserve">Incubate the tubes for 2 min at RT. Keep away from light. </w:t>
      </w:r>
    </w:p>
    <w:p w14:paraId="74662026" w14:textId="77777777" w:rsidR="00251070" w:rsidRPr="00943530" w:rsidRDefault="00251070" w:rsidP="00251070">
      <w:pPr>
        <w:spacing w:line="360" w:lineRule="auto"/>
        <w:rPr>
          <w:rFonts w:cstheme="minorHAnsi"/>
          <w:b/>
        </w:rPr>
      </w:pPr>
      <w:r w:rsidRPr="00943530">
        <w:rPr>
          <w:rFonts w:cstheme="minorHAnsi"/>
          <w:b/>
        </w:rPr>
        <w:t>Reading samples</w:t>
      </w:r>
    </w:p>
    <w:p w14:paraId="0CEC3D41" w14:textId="77777777" w:rsidR="00251070" w:rsidRPr="00251070" w:rsidRDefault="00251070" w:rsidP="002510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On </w:t>
      </w:r>
      <w:r w:rsidRPr="00251070">
        <w:rPr>
          <w:rFonts w:cstheme="minorHAnsi"/>
          <w:b/>
        </w:rPr>
        <w:t>home</w:t>
      </w:r>
      <w:r w:rsidRPr="00251070">
        <w:rPr>
          <w:rFonts w:cstheme="minorHAnsi"/>
        </w:rPr>
        <w:t xml:space="preserve"> screen, press the </w:t>
      </w:r>
      <w:r w:rsidRPr="00251070">
        <w:rPr>
          <w:rFonts w:cstheme="minorHAnsi"/>
          <w:b/>
        </w:rPr>
        <w:t>assay type</w:t>
      </w:r>
      <w:r w:rsidRPr="00251070">
        <w:rPr>
          <w:rFonts w:cstheme="minorHAnsi"/>
        </w:rPr>
        <w:t xml:space="preserve"> for which you wish to read new standards. </w:t>
      </w:r>
    </w:p>
    <w:p w14:paraId="5DF6AC5F" w14:textId="77777777" w:rsidR="00251070" w:rsidRPr="00251070" w:rsidRDefault="00251070" w:rsidP="002510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Select the desired </w:t>
      </w:r>
      <w:r w:rsidRPr="00251070">
        <w:rPr>
          <w:rFonts w:cstheme="minorHAnsi"/>
          <w:b/>
        </w:rPr>
        <w:t>assay</w:t>
      </w:r>
      <w:r w:rsidRPr="00251070">
        <w:rPr>
          <w:rFonts w:cstheme="minorHAnsi"/>
        </w:rPr>
        <w:t>.</w:t>
      </w:r>
    </w:p>
    <w:p w14:paraId="5B3F9678" w14:textId="77777777" w:rsidR="00251070" w:rsidRPr="00251070" w:rsidRDefault="00251070" w:rsidP="002510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Press </w:t>
      </w:r>
      <w:r w:rsidRPr="00251070">
        <w:rPr>
          <w:rFonts w:cstheme="minorHAnsi"/>
          <w:b/>
        </w:rPr>
        <w:t>Run samples</w:t>
      </w:r>
    </w:p>
    <w:p w14:paraId="317C7141" w14:textId="77777777" w:rsidR="00251070" w:rsidRPr="00251070" w:rsidRDefault="00251070" w:rsidP="002510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In the sample volume screen, select the sample volume and the desired units:</w:t>
      </w:r>
    </w:p>
    <w:p w14:paraId="0E11A787" w14:textId="77777777" w:rsidR="00251070" w:rsidRPr="00251070" w:rsidRDefault="00251070" w:rsidP="00251070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Press +/- buttons to select volume added to the assay tube. (1-20uL)</w:t>
      </w:r>
    </w:p>
    <w:p w14:paraId="5654A282" w14:textId="77777777" w:rsidR="00251070" w:rsidRPr="00251070" w:rsidRDefault="00251070" w:rsidP="00251070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From drop down menu select the desired units for the output sample concentration</w:t>
      </w:r>
    </w:p>
    <w:p w14:paraId="07EB4579" w14:textId="77777777" w:rsidR="00251070" w:rsidRPr="00251070" w:rsidRDefault="00251070" w:rsidP="002510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Insert sample tube into the sample chamber, close the lid, and press “</w:t>
      </w:r>
      <w:r w:rsidRPr="00251070">
        <w:rPr>
          <w:rFonts w:cstheme="minorHAnsi"/>
          <w:b/>
        </w:rPr>
        <w:t>Read tube</w:t>
      </w:r>
      <w:r w:rsidRPr="00251070">
        <w:rPr>
          <w:rFonts w:cstheme="minorHAnsi"/>
        </w:rPr>
        <w:t xml:space="preserve">”. </w:t>
      </w:r>
    </w:p>
    <w:p w14:paraId="67D4EA2D" w14:textId="77777777" w:rsidR="00251070" w:rsidRPr="00251070" w:rsidRDefault="00251070" w:rsidP="0025107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Reading results will be displayed on the “Results screen”. Record the results.</w:t>
      </w:r>
    </w:p>
    <w:p w14:paraId="6E28BB87" w14:textId="77777777" w:rsidR="00251070" w:rsidRPr="00251070" w:rsidRDefault="00251070" w:rsidP="0025107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If the results are within assay’s range, the concentration will be displayed in large font in the middle of the screen. This value is the concentration of the original sample. </w:t>
      </w:r>
    </w:p>
    <w:p w14:paraId="2BAF1B90" w14:textId="77777777" w:rsidR="00251070" w:rsidRPr="00251070" w:rsidRDefault="00251070" w:rsidP="0025107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Bottom value in smaller font is the diluted concentration (conc. Of the sample in the tube) </w:t>
      </w:r>
    </w:p>
    <w:p w14:paraId="77C11DFA" w14:textId="77777777" w:rsidR="00251070" w:rsidRPr="00251070" w:rsidRDefault="00251070" w:rsidP="0025107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If the results are outside of the assay’s range, an “Out of Range” message is displayed. In this case, swipe right to view the Fluorescence vs. concentration graph:</w:t>
      </w:r>
    </w:p>
    <w:p w14:paraId="46A808A4" w14:textId="77777777" w:rsidR="00251070" w:rsidRPr="00251070" w:rsidRDefault="00251070" w:rsidP="00251070">
      <w:pPr>
        <w:pStyle w:val="ListParagraph"/>
        <w:numPr>
          <w:ilvl w:val="1"/>
          <w:numId w:val="18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Open circles represent the standards</w:t>
      </w:r>
    </w:p>
    <w:p w14:paraId="37604921" w14:textId="77777777" w:rsidR="00251070" w:rsidRPr="00251070" w:rsidRDefault="00251070" w:rsidP="00251070">
      <w:pPr>
        <w:pStyle w:val="ListParagraph"/>
        <w:numPr>
          <w:ilvl w:val="1"/>
          <w:numId w:val="18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Yellow circles represent samples that fall within the assay’s extended range</w:t>
      </w:r>
    </w:p>
    <w:p w14:paraId="03E250C2" w14:textId="77777777" w:rsidR="00251070" w:rsidRPr="00251070" w:rsidRDefault="00251070" w:rsidP="00251070">
      <w:pPr>
        <w:pStyle w:val="ListParagraph"/>
        <w:numPr>
          <w:ilvl w:val="1"/>
          <w:numId w:val="18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Red circles represent samples that fall outside the assay’s range. </w:t>
      </w:r>
    </w:p>
    <w:p w14:paraId="1C40C6D2" w14:textId="77777777" w:rsidR="00251070" w:rsidRPr="00251070" w:rsidRDefault="00251070" w:rsidP="0025107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Identify if the sample is too high or too low for the assay and select an alternative kit/dilute the sample with RNase/DNase free water. </w:t>
      </w:r>
    </w:p>
    <w:p w14:paraId="7C181D6F" w14:textId="77777777" w:rsidR="00251070" w:rsidRPr="00251070" w:rsidRDefault="00251070" w:rsidP="002510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Remove current sample, insert new sample and repeat the procedure. </w:t>
      </w:r>
    </w:p>
    <w:p w14:paraId="442E1F8A" w14:textId="77777777" w:rsidR="00251070" w:rsidRPr="00251070" w:rsidRDefault="00251070" w:rsidP="00251070">
      <w:pPr>
        <w:spacing w:line="360" w:lineRule="auto"/>
        <w:rPr>
          <w:rFonts w:cstheme="minorHAnsi"/>
        </w:rPr>
      </w:pPr>
    </w:p>
    <w:p w14:paraId="387CC07C" w14:textId="77777777" w:rsidR="00251070" w:rsidRPr="00251070" w:rsidRDefault="00251070" w:rsidP="00251070">
      <w:pPr>
        <w:spacing w:line="360" w:lineRule="auto"/>
        <w:rPr>
          <w:rFonts w:cstheme="minorHAnsi"/>
        </w:rPr>
      </w:pPr>
      <w:r w:rsidRPr="00251070">
        <w:rPr>
          <w:rFonts w:cstheme="minorHAnsi"/>
        </w:rPr>
        <w:br w:type="page"/>
      </w:r>
    </w:p>
    <w:p w14:paraId="4FEED6AF" w14:textId="77777777" w:rsidR="00251070" w:rsidRPr="00251070" w:rsidRDefault="00251070" w:rsidP="00251070">
      <w:pPr>
        <w:spacing w:line="360" w:lineRule="auto"/>
        <w:rPr>
          <w:rFonts w:cstheme="minorHAnsi"/>
          <w:b/>
        </w:rPr>
      </w:pPr>
      <w:r w:rsidRPr="00251070">
        <w:rPr>
          <w:rFonts w:cstheme="minorHAnsi"/>
          <w:b/>
        </w:rPr>
        <w:lastRenderedPageBreak/>
        <w:t>Appendix A</w:t>
      </w:r>
    </w:p>
    <w:p w14:paraId="6444229F" w14:textId="0A0E0E4C" w:rsidR="00251070" w:rsidRPr="00251070" w:rsidRDefault="00251070" w:rsidP="00251070">
      <w:pPr>
        <w:spacing w:line="360" w:lineRule="auto"/>
        <w:rPr>
          <w:rFonts w:cstheme="minorHAnsi"/>
        </w:rPr>
      </w:pPr>
      <w:r w:rsidRPr="00251070">
        <w:rPr>
          <w:rFonts w:cstheme="minorHAnsi"/>
        </w:rPr>
        <w:t>Qubit Calibration using kit provided Standards</w:t>
      </w:r>
    </w:p>
    <w:p w14:paraId="24F114F1" w14:textId="77777777" w:rsidR="00251070" w:rsidRPr="00251070" w:rsidRDefault="00251070" w:rsidP="002510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On </w:t>
      </w:r>
      <w:r w:rsidRPr="00251070">
        <w:rPr>
          <w:rFonts w:cstheme="minorHAnsi"/>
          <w:b/>
        </w:rPr>
        <w:t>home</w:t>
      </w:r>
      <w:r w:rsidRPr="00251070">
        <w:rPr>
          <w:rFonts w:cstheme="minorHAnsi"/>
        </w:rPr>
        <w:t xml:space="preserve"> screen, select the </w:t>
      </w:r>
      <w:r w:rsidRPr="00251070">
        <w:rPr>
          <w:rFonts w:cstheme="minorHAnsi"/>
          <w:b/>
        </w:rPr>
        <w:t>assay type</w:t>
      </w:r>
      <w:r w:rsidRPr="00251070">
        <w:rPr>
          <w:rFonts w:cstheme="minorHAnsi"/>
        </w:rPr>
        <w:t xml:space="preserve"> for which you wish to read new standards. </w:t>
      </w:r>
    </w:p>
    <w:p w14:paraId="4FBD1999" w14:textId="77777777" w:rsidR="00251070" w:rsidRPr="00251070" w:rsidRDefault="00251070" w:rsidP="002510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Select the desired </w:t>
      </w:r>
      <w:r w:rsidRPr="00251070">
        <w:rPr>
          <w:rFonts w:cstheme="minorHAnsi"/>
          <w:b/>
        </w:rPr>
        <w:t>assay</w:t>
      </w:r>
      <w:r w:rsidRPr="00251070">
        <w:rPr>
          <w:rFonts w:cstheme="minorHAnsi"/>
        </w:rPr>
        <w:t>.</w:t>
      </w:r>
    </w:p>
    <w:p w14:paraId="248BD754" w14:textId="77777777" w:rsidR="00251070" w:rsidRPr="00251070" w:rsidRDefault="00251070" w:rsidP="002510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Check the date below the “Read Standards” button.</w:t>
      </w:r>
    </w:p>
    <w:p w14:paraId="23D075B4" w14:textId="77777777" w:rsidR="00251070" w:rsidRPr="00251070" w:rsidRDefault="00251070" w:rsidP="00251070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If Qubit was last calibrated within the last month, proceed with reading the samples using the previous calibration.</w:t>
      </w:r>
    </w:p>
    <w:p w14:paraId="2DDB9BEC" w14:textId="5DD563D7" w:rsidR="00251070" w:rsidRPr="00251070" w:rsidRDefault="00251070" w:rsidP="00251070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If Qubit was last calibrated more than a month ago, proceed with step 4. </w:t>
      </w:r>
    </w:p>
    <w:p w14:paraId="6AF48F59" w14:textId="0BADC9A6" w:rsidR="00251070" w:rsidRPr="00251070" w:rsidRDefault="00251070" w:rsidP="002510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Select Read Standards. </w:t>
      </w:r>
    </w:p>
    <w:p w14:paraId="1444A792" w14:textId="71421717" w:rsidR="00251070" w:rsidRPr="00943530" w:rsidRDefault="00251070" w:rsidP="00251070">
      <w:pPr>
        <w:spacing w:line="360" w:lineRule="auto"/>
        <w:rPr>
          <w:rFonts w:cstheme="minorHAnsi"/>
        </w:rPr>
      </w:pPr>
      <w:r w:rsidRPr="00943530">
        <w:rPr>
          <w:rFonts w:cstheme="minorHAnsi"/>
          <w:b/>
        </w:rPr>
        <w:t xml:space="preserve">Reading new standards for calibration </w:t>
      </w:r>
    </w:p>
    <w:p w14:paraId="28DD59F7" w14:textId="77777777" w:rsidR="00251070" w:rsidRPr="00251070" w:rsidRDefault="00251070" w:rsidP="002510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Prepare the standards:</w:t>
      </w:r>
    </w:p>
    <w:p w14:paraId="4ED12EF9" w14:textId="77777777" w:rsidR="00251070" w:rsidRPr="00251070" w:rsidRDefault="00251070" w:rsidP="00251070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Label 2 Assay tubes for the standards: std1, std2. </w:t>
      </w:r>
    </w:p>
    <w:p w14:paraId="4A03E2EB" w14:textId="77777777" w:rsidR="00251070" w:rsidRPr="00251070" w:rsidRDefault="00251070" w:rsidP="00251070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Prepare Qubit working solution by diluting the Qubit reagent 1:200 in Qubit buffer. Prepare 200ul of working solution for each standard and sample. </w:t>
      </w:r>
    </w:p>
    <w:p w14:paraId="122530C2" w14:textId="0F7CD0B5" w:rsidR="00251070" w:rsidRPr="00251070" w:rsidRDefault="00251070" w:rsidP="00251070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Into each of the assay tubes combine 190uL of working solution from step 5.b. with 10uL of appropriate Standard.</w:t>
      </w:r>
    </w:p>
    <w:p w14:paraId="37CC3EB8" w14:textId="77777777" w:rsidR="00251070" w:rsidRPr="00251070" w:rsidRDefault="00251070" w:rsidP="00251070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Vortex tubes for 3sec</w:t>
      </w:r>
    </w:p>
    <w:p w14:paraId="543A72A9" w14:textId="465468FF" w:rsidR="00251070" w:rsidRPr="00251070" w:rsidRDefault="00251070" w:rsidP="00251070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Incubate the tubes for 2 min at RT. Keep away from light. </w:t>
      </w:r>
    </w:p>
    <w:p w14:paraId="614D9116" w14:textId="77777777" w:rsidR="00251070" w:rsidRPr="00251070" w:rsidRDefault="00251070" w:rsidP="002510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At the prompt, insert </w:t>
      </w:r>
      <w:r w:rsidRPr="00251070">
        <w:rPr>
          <w:rFonts w:cstheme="minorHAnsi"/>
          <w:b/>
        </w:rPr>
        <w:t>Standard #1</w:t>
      </w:r>
      <w:r w:rsidRPr="00251070">
        <w:rPr>
          <w:rFonts w:cstheme="minorHAnsi"/>
        </w:rPr>
        <w:t xml:space="preserve"> into the sample chamber and press </w:t>
      </w:r>
      <w:r w:rsidRPr="00251070">
        <w:rPr>
          <w:rFonts w:cstheme="minorHAnsi"/>
          <w:b/>
        </w:rPr>
        <w:t>Read standard</w:t>
      </w:r>
      <w:r w:rsidRPr="00251070">
        <w:rPr>
          <w:rFonts w:cstheme="minorHAnsi"/>
        </w:rPr>
        <w:t xml:space="preserve">. </w:t>
      </w:r>
    </w:p>
    <w:p w14:paraId="77C3F512" w14:textId="77777777" w:rsidR="00251070" w:rsidRPr="00251070" w:rsidRDefault="00251070" w:rsidP="002510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At the prompt, insert </w:t>
      </w:r>
      <w:r w:rsidRPr="00251070">
        <w:rPr>
          <w:rFonts w:cstheme="minorHAnsi"/>
          <w:b/>
        </w:rPr>
        <w:t>Standard #2</w:t>
      </w:r>
      <w:r w:rsidRPr="00251070">
        <w:rPr>
          <w:rFonts w:cstheme="minorHAnsi"/>
        </w:rPr>
        <w:t xml:space="preserve"> into the sample chamber and press </w:t>
      </w:r>
      <w:r w:rsidRPr="00251070">
        <w:rPr>
          <w:rFonts w:cstheme="minorHAnsi"/>
          <w:b/>
        </w:rPr>
        <w:t>Read standard</w:t>
      </w:r>
      <w:r w:rsidRPr="00251070">
        <w:rPr>
          <w:rFonts w:cstheme="minorHAnsi"/>
        </w:rPr>
        <w:t xml:space="preserve">. </w:t>
      </w:r>
    </w:p>
    <w:p w14:paraId="339DABF3" w14:textId="77777777" w:rsidR="00251070" w:rsidRPr="00251070" w:rsidRDefault="00251070" w:rsidP="002510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The calibration is complete. </w:t>
      </w:r>
    </w:p>
    <w:p w14:paraId="42DA5F38" w14:textId="77777777" w:rsidR="00251070" w:rsidRPr="00251070" w:rsidRDefault="00251070" w:rsidP="00251070">
      <w:pPr>
        <w:pStyle w:val="ListParagraph"/>
        <w:numPr>
          <w:ilvl w:val="1"/>
          <w:numId w:val="19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If the calibration was successful, the software will display the Read standard screen, showing a Fluorescence vs. Concentration graph. </w:t>
      </w:r>
    </w:p>
    <w:p w14:paraId="4E83CE4B" w14:textId="77777777" w:rsidR="00251070" w:rsidRPr="00251070" w:rsidRDefault="00251070" w:rsidP="00251070">
      <w:pPr>
        <w:pStyle w:val="ListParagraph"/>
        <w:numPr>
          <w:ilvl w:val="1"/>
          <w:numId w:val="19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 xml:space="preserve">The standard data points will be connected by a straight line and open circled will represent correct standards. </w:t>
      </w:r>
    </w:p>
    <w:p w14:paraId="21BB2DDA" w14:textId="5CB448BD" w:rsidR="00C20E4B" w:rsidRPr="00251070" w:rsidRDefault="00251070" w:rsidP="00251070">
      <w:pPr>
        <w:pStyle w:val="ListParagraph"/>
        <w:numPr>
          <w:ilvl w:val="1"/>
          <w:numId w:val="19"/>
        </w:numPr>
        <w:spacing w:after="0" w:line="360" w:lineRule="auto"/>
        <w:rPr>
          <w:rFonts w:cstheme="minorHAnsi"/>
        </w:rPr>
      </w:pPr>
      <w:r w:rsidRPr="00251070">
        <w:rPr>
          <w:rFonts w:cstheme="minorHAnsi"/>
        </w:rPr>
        <w:t>If calibration is not successful, the software will display the “Calibration error”. In this case, press “</w:t>
      </w:r>
      <w:r w:rsidRPr="00251070">
        <w:rPr>
          <w:rFonts w:cstheme="minorHAnsi"/>
          <w:b/>
        </w:rPr>
        <w:t>OK</w:t>
      </w:r>
      <w:r w:rsidRPr="00251070">
        <w:rPr>
          <w:rFonts w:cstheme="minorHAnsi"/>
        </w:rPr>
        <w:t xml:space="preserve">” and repeat step 5-7. </w:t>
      </w:r>
    </w:p>
    <w:p w14:paraId="68F5BD27" w14:textId="77777777" w:rsidR="00A46CE8" w:rsidRDefault="00A46CE8" w:rsidP="00EA70DD">
      <w:pPr>
        <w:rPr>
          <w:color w:val="003399"/>
        </w:rPr>
      </w:pPr>
    </w:p>
    <w:p w14:paraId="57D75193" w14:textId="77777777" w:rsidR="006F5082" w:rsidRPr="00B71785" w:rsidRDefault="006F5082" w:rsidP="00EA70DD"/>
    <w:sectPr w:rsidR="006F5082" w:rsidRPr="00B71785" w:rsidSect="00967D0B">
      <w:headerReference w:type="default" r:id="rId9"/>
      <w:footerReference w:type="default" r:id="rId10"/>
      <w:pgSz w:w="12240" w:h="15840"/>
      <w:pgMar w:top="10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6C09C" w14:textId="77777777" w:rsidR="00D4741D" w:rsidRDefault="00D4741D" w:rsidP="004A4AC8">
      <w:pPr>
        <w:spacing w:after="0" w:line="240" w:lineRule="auto"/>
      </w:pPr>
      <w:r>
        <w:separator/>
      </w:r>
    </w:p>
  </w:endnote>
  <w:endnote w:type="continuationSeparator" w:id="0">
    <w:p w14:paraId="55DA7D4D" w14:textId="77777777" w:rsidR="00D4741D" w:rsidRDefault="00D4741D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5A52A2FF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1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C3CC0" w14:textId="77777777" w:rsidR="00D4741D" w:rsidRDefault="00D4741D" w:rsidP="004A4AC8">
      <w:pPr>
        <w:spacing w:after="0" w:line="240" w:lineRule="auto"/>
      </w:pPr>
      <w:r>
        <w:separator/>
      </w:r>
    </w:p>
  </w:footnote>
  <w:footnote w:type="continuationSeparator" w:id="0">
    <w:p w14:paraId="02018560" w14:textId="77777777" w:rsidR="00D4741D" w:rsidRDefault="00D4741D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5E835046">
          <wp:extent cx="2084127" cy="477520"/>
          <wp:effectExtent l="0" t="0" r="0" b="0"/>
          <wp:docPr id="91" name="Pictur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3582"/>
    <w:multiLevelType w:val="hybridMultilevel"/>
    <w:tmpl w:val="FBE04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B26E8C"/>
    <w:multiLevelType w:val="hybridMultilevel"/>
    <w:tmpl w:val="0C4071C8"/>
    <w:lvl w:ilvl="0" w:tplc="61CAE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E7C5B"/>
    <w:multiLevelType w:val="hybridMultilevel"/>
    <w:tmpl w:val="2D00AAC2"/>
    <w:lvl w:ilvl="0" w:tplc="CD42197C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ajorHAns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4F22FC"/>
    <w:multiLevelType w:val="hybridMultilevel"/>
    <w:tmpl w:val="CD64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C34AE"/>
    <w:multiLevelType w:val="hybridMultilevel"/>
    <w:tmpl w:val="5A8ACDD4"/>
    <w:lvl w:ilvl="0" w:tplc="CD42197C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aj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FCE142E"/>
    <w:multiLevelType w:val="hybridMultilevel"/>
    <w:tmpl w:val="DF22C8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6129B7"/>
    <w:multiLevelType w:val="hybridMultilevel"/>
    <w:tmpl w:val="0FE08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86655"/>
    <w:multiLevelType w:val="hybridMultilevel"/>
    <w:tmpl w:val="110413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25563B"/>
    <w:multiLevelType w:val="hybridMultilevel"/>
    <w:tmpl w:val="D15A1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872CC"/>
    <w:multiLevelType w:val="hybridMultilevel"/>
    <w:tmpl w:val="A7A25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9D499E"/>
    <w:multiLevelType w:val="hybridMultilevel"/>
    <w:tmpl w:val="3DDA61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59075D"/>
    <w:multiLevelType w:val="hybridMultilevel"/>
    <w:tmpl w:val="F7482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9"/>
  </w:num>
  <w:num w:numId="5">
    <w:abstractNumId w:val="10"/>
  </w:num>
  <w:num w:numId="6">
    <w:abstractNumId w:val="6"/>
  </w:num>
  <w:num w:numId="7">
    <w:abstractNumId w:val="11"/>
  </w:num>
  <w:num w:numId="8">
    <w:abstractNumId w:val="13"/>
  </w:num>
  <w:num w:numId="9">
    <w:abstractNumId w:val="1"/>
  </w:num>
  <w:num w:numId="10">
    <w:abstractNumId w:val="2"/>
  </w:num>
  <w:num w:numId="11">
    <w:abstractNumId w:val="3"/>
  </w:num>
  <w:num w:numId="12">
    <w:abstractNumId w:val="15"/>
  </w:num>
  <w:num w:numId="13">
    <w:abstractNumId w:val="4"/>
  </w:num>
  <w:num w:numId="14">
    <w:abstractNumId w:val="16"/>
  </w:num>
  <w:num w:numId="15">
    <w:abstractNumId w:val="17"/>
  </w:num>
  <w:num w:numId="16">
    <w:abstractNumId w:val="14"/>
  </w:num>
  <w:num w:numId="17">
    <w:abstractNumId w:val="7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066C6"/>
    <w:rsid w:val="000541FA"/>
    <w:rsid w:val="0006750A"/>
    <w:rsid w:val="0009214C"/>
    <w:rsid w:val="000A2017"/>
    <w:rsid w:val="00134064"/>
    <w:rsid w:val="00143AD3"/>
    <w:rsid w:val="00147E08"/>
    <w:rsid w:val="00183390"/>
    <w:rsid w:val="00250DE1"/>
    <w:rsid w:val="00251070"/>
    <w:rsid w:val="00311E3C"/>
    <w:rsid w:val="0035309A"/>
    <w:rsid w:val="00361193"/>
    <w:rsid w:val="00364859"/>
    <w:rsid w:val="0039176D"/>
    <w:rsid w:val="00484F03"/>
    <w:rsid w:val="004A4AC8"/>
    <w:rsid w:val="00567CA2"/>
    <w:rsid w:val="005D17A7"/>
    <w:rsid w:val="00683576"/>
    <w:rsid w:val="006F5082"/>
    <w:rsid w:val="00740196"/>
    <w:rsid w:val="00766226"/>
    <w:rsid w:val="007C3504"/>
    <w:rsid w:val="00847E7A"/>
    <w:rsid w:val="008E7346"/>
    <w:rsid w:val="009200EB"/>
    <w:rsid w:val="00934AC0"/>
    <w:rsid w:val="00943530"/>
    <w:rsid w:val="00943DB1"/>
    <w:rsid w:val="00967D0B"/>
    <w:rsid w:val="00977F04"/>
    <w:rsid w:val="009A2282"/>
    <w:rsid w:val="009E1ED0"/>
    <w:rsid w:val="00A46CE8"/>
    <w:rsid w:val="00B060D8"/>
    <w:rsid w:val="00B358F9"/>
    <w:rsid w:val="00B43DB4"/>
    <w:rsid w:val="00B71785"/>
    <w:rsid w:val="00B73DCA"/>
    <w:rsid w:val="00B74F15"/>
    <w:rsid w:val="00BC6DCD"/>
    <w:rsid w:val="00C00589"/>
    <w:rsid w:val="00C143FA"/>
    <w:rsid w:val="00C20E4B"/>
    <w:rsid w:val="00C26DD6"/>
    <w:rsid w:val="00C42CD2"/>
    <w:rsid w:val="00C53D29"/>
    <w:rsid w:val="00C60C14"/>
    <w:rsid w:val="00C7577D"/>
    <w:rsid w:val="00C97FE5"/>
    <w:rsid w:val="00D243F6"/>
    <w:rsid w:val="00D4281A"/>
    <w:rsid w:val="00D4741D"/>
    <w:rsid w:val="00D5686E"/>
    <w:rsid w:val="00DB55A1"/>
    <w:rsid w:val="00DF3863"/>
    <w:rsid w:val="00DF3ED8"/>
    <w:rsid w:val="00E21DBA"/>
    <w:rsid w:val="00E46191"/>
    <w:rsid w:val="00E52DD3"/>
    <w:rsid w:val="00E9679C"/>
    <w:rsid w:val="00EA70DD"/>
    <w:rsid w:val="00ED16D9"/>
    <w:rsid w:val="00F03723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51070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A37-EA46-49FF-B46C-266A96C7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Chen, Yi-Chun (ARC-SCR)[WYLE LABS]</cp:lastModifiedBy>
  <cp:revision>3</cp:revision>
  <cp:lastPrinted>2020-10-02T22:47:00Z</cp:lastPrinted>
  <dcterms:created xsi:type="dcterms:W3CDTF">2020-12-28T23:40:00Z</dcterms:created>
  <dcterms:modified xsi:type="dcterms:W3CDTF">2021-01-14T17:13:00Z</dcterms:modified>
</cp:coreProperties>
</file>