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2E047" w14:textId="77777777" w:rsidR="00C7577D" w:rsidRDefault="00C7577D"/>
    <w:p w14:paraId="5402BE16" w14:textId="77777777" w:rsidR="004A4AC8" w:rsidRDefault="004A4AC8"/>
    <w:p w14:paraId="084337F9" w14:textId="77777777" w:rsidR="004A4AC8" w:rsidRDefault="004A4AC8"/>
    <w:p w14:paraId="15C7071A" w14:textId="77777777" w:rsidR="004A4AC8" w:rsidRDefault="004A4AC8"/>
    <w:p w14:paraId="0F683A67" w14:textId="347750B9" w:rsidR="004A4AC8" w:rsidRDefault="004A4AC8" w:rsidP="00683576">
      <w:pPr>
        <w:tabs>
          <w:tab w:val="left" w:pos="10710"/>
        </w:tabs>
      </w:pPr>
    </w:p>
    <w:p w14:paraId="60608F30" w14:textId="7362174D" w:rsidR="008E7346" w:rsidRDefault="008E7346" w:rsidP="00683576">
      <w:pPr>
        <w:tabs>
          <w:tab w:val="left" w:pos="10710"/>
        </w:tabs>
      </w:pPr>
    </w:p>
    <w:p w14:paraId="1524D046" w14:textId="4056C51A" w:rsidR="008E7346" w:rsidRDefault="008E7346" w:rsidP="00683576">
      <w:pPr>
        <w:tabs>
          <w:tab w:val="left" w:pos="10710"/>
        </w:tabs>
      </w:pPr>
    </w:p>
    <w:p w14:paraId="5BD44EB6" w14:textId="77777777" w:rsidR="008E7346" w:rsidRDefault="008E7346" w:rsidP="00683576">
      <w:pPr>
        <w:tabs>
          <w:tab w:val="left" w:pos="10710"/>
        </w:tabs>
      </w:pPr>
    </w:p>
    <w:p w14:paraId="2C953F9C" w14:textId="3ACECA55" w:rsidR="004A4AC8" w:rsidRDefault="00B71785">
      <w:r>
        <w:rPr>
          <w:noProof/>
        </w:rPr>
        <mc:AlternateContent>
          <mc:Choice Requires="wps">
            <w:drawing>
              <wp:anchor distT="0" distB="0" distL="114300" distR="114300" simplePos="0" relativeHeight="251659264" behindDoc="0" locked="0" layoutInCell="1" allowOverlap="1" wp14:anchorId="7A615E59" wp14:editId="0BC9BB3A">
                <wp:simplePos x="0" y="0"/>
                <wp:positionH relativeFrom="page">
                  <wp:posOffset>469900</wp:posOffset>
                </wp:positionH>
                <wp:positionV relativeFrom="paragraph">
                  <wp:posOffset>227965</wp:posOffset>
                </wp:positionV>
                <wp:extent cx="6845300" cy="2070100"/>
                <wp:effectExtent l="38100" t="38100" r="88900" b="101600"/>
                <wp:wrapNone/>
                <wp:docPr id="1" name="Rectangle 1"/>
                <wp:cNvGraphicFramePr/>
                <a:graphic xmlns:a="http://schemas.openxmlformats.org/drawingml/2006/main">
                  <a:graphicData uri="http://schemas.microsoft.com/office/word/2010/wordprocessingShape">
                    <wps:wsp>
                      <wps:cNvSpPr/>
                      <wps:spPr>
                        <a:xfrm>
                          <a:off x="0" y="0"/>
                          <a:ext cx="6845300" cy="2070100"/>
                        </a:xfrm>
                        <a:prstGeom prst="rect">
                          <a:avLst/>
                        </a:prstGeom>
                        <a:solidFill>
                          <a:srgbClr val="003399"/>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BC694F" w14:textId="77777777" w:rsidR="00CA11F2" w:rsidRDefault="00EA70DD" w:rsidP="00847E7A">
                            <w:pPr>
                              <w:rPr>
                                <w:sz w:val="44"/>
                                <w:szCs w:val="44"/>
                              </w:rPr>
                            </w:pPr>
                            <w:r w:rsidRPr="00847E7A">
                              <w:rPr>
                                <w:sz w:val="44"/>
                                <w:szCs w:val="44"/>
                              </w:rPr>
                              <w:t xml:space="preserve">GeneLab </w:t>
                            </w:r>
                            <w:r w:rsidR="004A4AC8" w:rsidRPr="00847E7A">
                              <w:rPr>
                                <w:sz w:val="44"/>
                                <w:szCs w:val="44"/>
                              </w:rPr>
                              <w:t xml:space="preserve">Standard Operating Procedure: </w:t>
                            </w:r>
                          </w:p>
                          <w:p w14:paraId="2F6A4C59" w14:textId="776C55C0" w:rsidR="004A4AC8" w:rsidRPr="00847E7A" w:rsidRDefault="00CA11F2" w:rsidP="00847E7A">
                            <w:pPr>
                              <w:rPr>
                                <w:sz w:val="44"/>
                                <w:szCs w:val="44"/>
                              </w:rPr>
                            </w:pPr>
                            <w:r>
                              <w:rPr>
                                <w:sz w:val="44"/>
                                <w:szCs w:val="44"/>
                              </w:rPr>
                              <w:t>Use of ERCC spike-</w:t>
                            </w:r>
                            <w:r w:rsidRPr="00CA11F2">
                              <w:rPr>
                                <w:sz w:val="44"/>
                                <w:szCs w:val="44"/>
                              </w:rPr>
                              <w:t>in mixes and UMRR/UHRR controls for Total RNA-Sequencing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15E59" id="Rectangle 1" o:spid="_x0000_s1026" style="position:absolute;margin-left:37pt;margin-top:17.95pt;width:539pt;height:163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" fillcolor="#039" stroked="f" strokeweight="1pt">
                <v:shadow on="t" color="black" opacity="26214f" origin="-.5,-.5" offset=".74836mm,.74836mm"/>
                <v:textbox>
                  <w:txbxContent>
                    <w:p w14:paraId="45BC694F" w14:textId="77777777" w:rsidR="00CA11F2" w:rsidRDefault="00EA70DD" w:rsidP="00847E7A">
                      <w:pPr>
                        <w:rPr>
                          <w:sz w:val="44"/>
                          <w:szCs w:val="44"/>
                        </w:rPr>
                      </w:pPr>
                      <w:r w:rsidRPr="00847E7A">
                        <w:rPr>
                          <w:sz w:val="44"/>
                          <w:szCs w:val="44"/>
                        </w:rPr>
                        <w:t xml:space="preserve">GeneLab </w:t>
                      </w:r>
                      <w:r w:rsidR="004A4AC8" w:rsidRPr="00847E7A">
                        <w:rPr>
                          <w:sz w:val="44"/>
                          <w:szCs w:val="44"/>
                        </w:rPr>
                        <w:t xml:space="preserve">Standard Operating Procedure: </w:t>
                      </w:r>
                    </w:p>
                    <w:p w14:paraId="2F6A4C59" w14:textId="776C55C0" w:rsidR="004A4AC8" w:rsidRPr="00847E7A" w:rsidRDefault="00CA11F2" w:rsidP="00847E7A">
                      <w:pPr>
                        <w:rPr>
                          <w:sz w:val="44"/>
                          <w:szCs w:val="44"/>
                        </w:rPr>
                      </w:pPr>
                      <w:r>
                        <w:rPr>
                          <w:sz w:val="44"/>
                          <w:szCs w:val="44"/>
                        </w:rPr>
                        <w:t>Use of ERCC spike-</w:t>
                      </w:r>
                      <w:r w:rsidRPr="00CA11F2">
                        <w:rPr>
                          <w:sz w:val="44"/>
                          <w:szCs w:val="44"/>
                        </w:rPr>
                        <w:t>in mixes and UMRR/UHRR controls for Total RNA-Sequencing</w:t>
                      </w:r>
                    </w:p>
                  </w:txbxContent>
                </v:textbox>
                <w10:wrap anchorx="page"/>
              </v:rect>
            </w:pict>
          </mc:Fallback>
        </mc:AlternateContent>
      </w:r>
    </w:p>
    <w:p w14:paraId="74B6145E" w14:textId="39B04834" w:rsidR="004A4AC8" w:rsidRDefault="004A4AC8"/>
    <w:p w14:paraId="08384C0B" w14:textId="3EEF95F1" w:rsidR="004A4AC8" w:rsidRDefault="004A4AC8"/>
    <w:p w14:paraId="72C9F911" w14:textId="77777777" w:rsidR="004A4AC8" w:rsidRDefault="004A4AC8"/>
    <w:p w14:paraId="4964EE6C" w14:textId="77777777" w:rsidR="004A4AC8" w:rsidRDefault="004A4AC8"/>
    <w:p w14:paraId="401B78C8" w14:textId="77777777" w:rsidR="004A4AC8" w:rsidRDefault="004A4AC8"/>
    <w:p w14:paraId="78F5586F" w14:textId="77777777" w:rsidR="004A4AC8" w:rsidRDefault="004A4AC8"/>
    <w:p w14:paraId="774E9AF9" w14:textId="77777777" w:rsidR="004A4AC8" w:rsidRDefault="004A4AC8"/>
    <w:p w14:paraId="1D9C3E04" w14:textId="77777777" w:rsidR="004A4AC8" w:rsidRDefault="004A4AC8" w:rsidP="00683576">
      <w:pPr>
        <w:ind w:left="90"/>
      </w:pPr>
    </w:p>
    <w:p w14:paraId="46C7E337" w14:textId="77777777" w:rsidR="004A4AC8" w:rsidRDefault="004A4AC8"/>
    <w:p w14:paraId="7D648E37" w14:textId="77777777" w:rsidR="004A4AC8" w:rsidRDefault="004A4AC8"/>
    <w:p w14:paraId="15B0E100" w14:textId="2501DBF9" w:rsidR="004A4AC8" w:rsidRPr="0093221C" w:rsidRDefault="00987195" w:rsidP="004A4AC8">
      <w:pPr>
        <w:jc w:val="right"/>
        <w:rPr>
          <w:i/>
          <w:iCs/>
          <w:color w:val="595959" w:themeColor="text1" w:themeTint="A6"/>
          <w:sz w:val="28"/>
          <w:szCs w:val="28"/>
        </w:rPr>
      </w:pPr>
      <w:r w:rsidRPr="0093221C">
        <w:rPr>
          <w:i/>
          <w:iCs/>
          <w:color w:val="595959" w:themeColor="text1" w:themeTint="A6"/>
          <w:sz w:val="28"/>
          <w:szCs w:val="28"/>
        </w:rPr>
        <w:t>Mar.</w:t>
      </w:r>
      <w:r w:rsidR="004A4AC8" w:rsidRPr="0093221C">
        <w:rPr>
          <w:i/>
          <w:iCs/>
          <w:color w:val="595959" w:themeColor="text1" w:themeTint="A6"/>
          <w:sz w:val="28"/>
          <w:szCs w:val="28"/>
        </w:rPr>
        <w:t xml:space="preserve"> 20</w:t>
      </w:r>
      <w:r w:rsidR="00364859" w:rsidRPr="0093221C">
        <w:rPr>
          <w:i/>
          <w:iCs/>
          <w:color w:val="595959" w:themeColor="text1" w:themeTint="A6"/>
          <w:sz w:val="28"/>
          <w:szCs w:val="28"/>
        </w:rPr>
        <w:t>2</w:t>
      </w:r>
      <w:r w:rsidRPr="0093221C">
        <w:rPr>
          <w:i/>
          <w:iCs/>
          <w:color w:val="595959" w:themeColor="text1" w:themeTint="A6"/>
          <w:sz w:val="28"/>
          <w:szCs w:val="28"/>
        </w:rPr>
        <w:t>0</w:t>
      </w:r>
    </w:p>
    <w:p w14:paraId="3DB46AC8" w14:textId="2762CD73" w:rsidR="004A4AC8" w:rsidRPr="00E80281" w:rsidRDefault="00987195" w:rsidP="004A4AC8">
      <w:pPr>
        <w:jc w:val="right"/>
        <w:rPr>
          <w:i/>
          <w:iCs/>
          <w:sz w:val="32"/>
          <w:szCs w:val="32"/>
        </w:rPr>
      </w:pPr>
      <w:r w:rsidRPr="0093221C">
        <w:rPr>
          <w:i/>
          <w:iCs/>
          <w:color w:val="595959" w:themeColor="text1" w:themeTint="A6"/>
          <w:sz w:val="28"/>
          <w:szCs w:val="28"/>
        </w:rPr>
        <w:t>Version 1.10</w:t>
      </w:r>
    </w:p>
    <w:p w14:paraId="4D7153D2" w14:textId="77777777" w:rsidR="004A4AC8" w:rsidRDefault="004A4AC8" w:rsidP="004A4AC8">
      <w:pPr>
        <w:jc w:val="right"/>
        <w:rPr>
          <w:b/>
          <w:bCs/>
          <w:i/>
          <w:iCs/>
        </w:rPr>
      </w:pPr>
    </w:p>
    <w:p w14:paraId="0FA97EFA" w14:textId="77777777" w:rsidR="004A4AC8" w:rsidRDefault="004A4AC8" w:rsidP="004A4AC8">
      <w:pPr>
        <w:jc w:val="right"/>
        <w:rPr>
          <w:b/>
          <w:bCs/>
          <w:i/>
          <w:iCs/>
        </w:rPr>
      </w:pPr>
    </w:p>
    <w:p w14:paraId="7478EE92" w14:textId="77777777" w:rsidR="004A4AC8" w:rsidRDefault="004A4AC8" w:rsidP="004A4AC8">
      <w:pPr>
        <w:jc w:val="right"/>
        <w:rPr>
          <w:b/>
          <w:bCs/>
          <w:i/>
          <w:iCs/>
        </w:rPr>
      </w:pPr>
    </w:p>
    <w:p w14:paraId="32FE0F8E" w14:textId="6A727E15" w:rsidR="00C20E4B" w:rsidRDefault="00C20E4B" w:rsidP="00DB55A1">
      <w:pPr>
        <w:pStyle w:val="Heading1"/>
        <w:rPr>
          <w:color w:val="003399"/>
          <w:sz w:val="44"/>
          <w:szCs w:val="44"/>
        </w:rPr>
      </w:pPr>
      <w:bookmarkStart w:id="0" w:name="_Toc51854616"/>
    </w:p>
    <w:p w14:paraId="455BD37B" w14:textId="6ECCE614" w:rsidR="00C20E4B" w:rsidRDefault="00C20E4B" w:rsidP="00C20E4B"/>
    <w:p w14:paraId="45A389A6" w14:textId="1E49DA89" w:rsidR="00C20E4B" w:rsidRDefault="00C20E4B" w:rsidP="00C20E4B"/>
    <w:p w14:paraId="23944889" w14:textId="7F658E9E" w:rsidR="009A2282" w:rsidRPr="00B060D8" w:rsidRDefault="004A4AC8" w:rsidP="008E7346">
      <w:pPr>
        <w:tabs>
          <w:tab w:val="left" w:pos="3600"/>
        </w:tabs>
        <w:rPr>
          <w:rFonts w:asciiTheme="majorHAnsi" w:hAnsiTheme="majorHAnsi" w:cstheme="majorHAnsi"/>
        </w:rPr>
      </w:pPr>
      <w:r w:rsidRPr="00B060D8">
        <w:rPr>
          <w:rFonts w:asciiTheme="majorHAnsi" w:hAnsiTheme="majorHAnsi" w:cstheme="majorHAnsi"/>
          <w:color w:val="003399"/>
          <w:sz w:val="44"/>
          <w:szCs w:val="44"/>
        </w:rPr>
        <w:t>Document Revisions</w:t>
      </w:r>
      <w:bookmarkEnd w:id="0"/>
    </w:p>
    <w:tbl>
      <w:tblPr>
        <w:tblStyle w:val="GridTable2-Accent3"/>
        <w:tblW w:w="0" w:type="auto"/>
        <w:tblLook w:val="04A0" w:firstRow="1" w:lastRow="0" w:firstColumn="1" w:lastColumn="0" w:noHBand="0" w:noVBand="1"/>
      </w:tblPr>
      <w:tblGrid>
        <w:gridCol w:w="1521"/>
        <w:gridCol w:w="1060"/>
        <w:gridCol w:w="1445"/>
        <w:gridCol w:w="5334"/>
      </w:tblGrid>
      <w:tr w:rsidR="0039176D" w:rsidRPr="00EA70DD" w14:paraId="40C5A7E1" w14:textId="77777777" w:rsidTr="00550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14:paraId="0AAF8724" w14:textId="77777777" w:rsidR="0039176D" w:rsidRPr="00977F04" w:rsidRDefault="00143AD3" w:rsidP="004A4AC8">
            <w:pPr>
              <w:rPr>
                <w:color w:val="595959" w:themeColor="text1" w:themeTint="A6"/>
              </w:rPr>
            </w:pPr>
            <w:r w:rsidRPr="00977F04">
              <w:rPr>
                <w:color w:val="595959" w:themeColor="text1" w:themeTint="A6"/>
              </w:rPr>
              <w:t>Document Number</w:t>
            </w:r>
          </w:p>
        </w:tc>
        <w:tc>
          <w:tcPr>
            <w:tcW w:w="1060" w:type="dxa"/>
          </w:tcPr>
          <w:p w14:paraId="0AE01B9D"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Revision</w:t>
            </w:r>
            <w:r w:rsidR="0039176D" w:rsidRPr="00977F04">
              <w:rPr>
                <w:color w:val="595959" w:themeColor="text1" w:themeTint="A6"/>
              </w:rPr>
              <w:t xml:space="preserve"> Number</w:t>
            </w:r>
          </w:p>
        </w:tc>
        <w:tc>
          <w:tcPr>
            <w:tcW w:w="1445" w:type="dxa"/>
          </w:tcPr>
          <w:p w14:paraId="52901DF7"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Date</w:t>
            </w:r>
          </w:p>
        </w:tc>
        <w:tc>
          <w:tcPr>
            <w:tcW w:w="5334" w:type="dxa"/>
          </w:tcPr>
          <w:p w14:paraId="7DDA74F4"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Description of Changes</w:t>
            </w:r>
          </w:p>
        </w:tc>
      </w:tr>
      <w:tr w:rsidR="0039176D" w:rsidRPr="00EA70DD" w14:paraId="44B64CAE" w14:textId="77777777" w:rsidTr="00550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14:paraId="79C64AA9" w14:textId="55C4EEA6" w:rsidR="0039176D" w:rsidRPr="0093221C" w:rsidRDefault="00550D7B" w:rsidP="004A4AC8">
            <w:pPr>
              <w:rPr>
                <w:b w:val="0"/>
                <w:bCs w:val="0"/>
                <w:color w:val="595959" w:themeColor="text1" w:themeTint="A6"/>
                <w:highlight w:val="yellow"/>
              </w:rPr>
            </w:pPr>
            <w:r w:rsidRPr="0093221C">
              <w:rPr>
                <w:b w:val="0"/>
                <w:bCs w:val="0"/>
                <w:color w:val="595959" w:themeColor="text1" w:themeTint="A6"/>
              </w:rPr>
              <w:t>GL-SOP-5.2</w:t>
            </w:r>
          </w:p>
        </w:tc>
        <w:tc>
          <w:tcPr>
            <w:tcW w:w="1060" w:type="dxa"/>
          </w:tcPr>
          <w:p w14:paraId="472B3320" w14:textId="11927013" w:rsidR="0039176D" w:rsidRPr="0093221C" w:rsidRDefault="00550D7B"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3221C">
              <w:rPr>
                <w:color w:val="595959" w:themeColor="text1" w:themeTint="A6"/>
              </w:rPr>
              <w:t>1.1</w:t>
            </w:r>
          </w:p>
        </w:tc>
        <w:tc>
          <w:tcPr>
            <w:tcW w:w="1445" w:type="dxa"/>
          </w:tcPr>
          <w:p w14:paraId="5F5524AB" w14:textId="0014A284" w:rsidR="0039176D" w:rsidRPr="0093221C" w:rsidRDefault="00550D7B"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3221C">
              <w:rPr>
                <w:color w:val="595959" w:themeColor="text1" w:themeTint="A6"/>
              </w:rPr>
              <w:t>03_30_2020</w:t>
            </w:r>
          </w:p>
        </w:tc>
        <w:tc>
          <w:tcPr>
            <w:tcW w:w="5334" w:type="dxa"/>
          </w:tcPr>
          <w:p w14:paraId="606CB05A" w14:textId="1C6757AF" w:rsidR="0039176D" w:rsidRPr="0093221C" w:rsidRDefault="00550D7B"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3221C">
              <w:rPr>
                <w:color w:val="595959" w:themeColor="text1" w:themeTint="A6"/>
              </w:rPr>
              <w:t>Original document</w:t>
            </w:r>
          </w:p>
        </w:tc>
      </w:tr>
      <w:tr w:rsidR="0039176D" w:rsidRPr="00EA70DD" w14:paraId="40CD0BE8" w14:textId="77777777" w:rsidTr="00550D7B">
        <w:tc>
          <w:tcPr>
            <w:cnfStyle w:val="001000000000" w:firstRow="0" w:lastRow="0" w:firstColumn="1" w:lastColumn="0" w:oddVBand="0" w:evenVBand="0" w:oddHBand="0" w:evenHBand="0" w:firstRowFirstColumn="0" w:firstRowLastColumn="0" w:lastRowFirstColumn="0" w:lastRowLastColumn="0"/>
            <w:tcW w:w="1521" w:type="dxa"/>
          </w:tcPr>
          <w:p w14:paraId="20A87CD7" w14:textId="77777777" w:rsidR="0039176D" w:rsidRPr="00977F04" w:rsidRDefault="0039176D" w:rsidP="004A4AC8">
            <w:pPr>
              <w:rPr>
                <w:b w:val="0"/>
                <w:bCs w:val="0"/>
                <w:color w:val="595959" w:themeColor="text1" w:themeTint="A6"/>
              </w:rPr>
            </w:pPr>
          </w:p>
        </w:tc>
        <w:tc>
          <w:tcPr>
            <w:tcW w:w="1060" w:type="dxa"/>
          </w:tcPr>
          <w:p w14:paraId="7AC9FE79"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445" w:type="dxa"/>
          </w:tcPr>
          <w:p w14:paraId="323454E7"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5334" w:type="dxa"/>
          </w:tcPr>
          <w:p w14:paraId="1CA9FFF5"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bl>
    <w:p w14:paraId="0033B38C" w14:textId="77777777" w:rsidR="009A2282" w:rsidRPr="00C20E4B" w:rsidRDefault="0039176D" w:rsidP="00DB55A1">
      <w:pPr>
        <w:pStyle w:val="Heading1"/>
        <w:rPr>
          <w:color w:val="003399"/>
          <w:sz w:val="44"/>
          <w:szCs w:val="44"/>
        </w:rPr>
      </w:pPr>
      <w:bookmarkStart w:id="1" w:name="_Toc51854618"/>
      <w:r w:rsidRPr="00C20E4B">
        <w:rPr>
          <w:color w:val="003399"/>
          <w:sz w:val="44"/>
          <w:szCs w:val="44"/>
        </w:rPr>
        <w:t>Scope and Purpose</w:t>
      </w:r>
      <w:bookmarkEnd w:id="1"/>
    </w:p>
    <w:p w14:paraId="05DF7642" w14:textId="7543BD57" w:rsidR="00D5686E" w:rsidRPr="0093221C" w:rsidRDefault="00C33A93" w:rsidP="009828DF">
      <w:pPr>
        <w:rPr>
          <w:color w:val="595959" w:themeColor="text1" w:themeTint="A6"/>
          <w:highlight w:val="yellow"/>
        </w:rPr>
      </w:pPr>
      <w:r w:rsidRPr="0093221C">
        <w:rPr>
          <w:color w:val="595959" w:themeColor="text1" w:themeTint="A6"/>
        </w:rPr>
        <w:t>As described in detail on GeneLab.nasa.gov webpage titled “GeneLab Sequencing Standards and Services” we encourage the researchers to use two levels of control in the Total RNA sequencing workflow. This SOP describes the suggested protocol.</w:t>
      </w:r>
    </w:p>
    <w:p w14:paraId="6D09B7EA" w14:textId="77777777" w:rsidR="00934AC0" w:rsidRPr="00C20E4B" w:rsidRDefault="00934AC0" w:rsidP="00DB55A1">
      <w:pPr>
        <w:pStyle w:val="Heading1"/>
        <w:rPr>
          <w:color w:val="003399"/>
          <w:sz w:val="44"/>
          <w:szCs w:val="44"/>
        </w:rPr>
      </w:pPr>
      <w:bookmarkStart w:id="2" w:name="_Toc51854620"/>
      <w:r w:rsidRPr="00C20E4B">
        <w:rPr>
          <w:color w:val="003399"/>
          <w:sz w:val="44"/>
          <w:szCs w:val="44"/>
        </w:rPr>
        <w:t>Reagents</w:t>
      </w:r>
      <w:bookmarkEnd w:id="2"/>
    </w:p>
    <w:p w14:paraId="10CED48A" w14:textId="66CEDE82" w:rsidR="002F3F16" w:rsidRPr="0093221C" w:rsidRDefault="009E7BB0" w:rsidP="009E7BB0">
      <w:pPr>
        <w:pStyle w:val="ListParagraph"/>
        <w:ind w:left="0"/>
        <w:rPr>
          <w:color w:val="595959" w:themeColor="text1" w:themeTint="A6"/>
        </w:rPr>
      </w:pPr>
      <w:r w:rsidRPr="0093221C">
        <w:rPr>
          <w:color w:val="595959" w:themeColor="text1" w:themeTint="A6"/>
        </w:rPr>
        <w:t xml:space="preserve">1.    </w:t>
      </w:r>
      <w:r w:rsidR="002F3F16" w:rsidRPr="0093221C">
        <w:rPr>
          <w:color w:val="595959" w:themeColor="text1" w:themeTint="A6"/>
        </w:rPr>
        <w:t>Universal Mouse Reference RNA (Agilent, Cat#740100)</w:t>
      </w:r>
    </w:p>
    <w:p w14:paraId="69BC5C8A" w14:textId="6EE08CBB" w:rsidR="002F3F16" w:rsidRPr="0093221C" w:rsidRDefault="009E7BB0" w:rsidP="009E7BB0">
      <w:pPr>
        <w:pStyle w:val="ListParagraph"/>
        <w:ind w:left="0"/>
        <w:rPr>
          <w:color w:val="595959" w:themeColor="text1" w:themeTint="A6"/>
        </w:rPr>
      </w:pPr>
      <w:r w:rsidRPr="0093221C">
        <w:rPr>
          <w:color w:val="595959" w:themeColor="text1" w:themeTint="A6"/>
        </w:rPr>
        <w:t xml:space="preserve">2.    </w:t>
      </w:r>
      <w:r w:rsidR="002F3F16" w:rsidRPr="0093221C">
        <w:rPr>
          <w:color w:val="595959" w:themeColor="text1" w:themeTint="A6"/>
        </w:rPr>
        <w:t xml:space="preserve">Universal Human Reference RNA (Agilent, Cat#740000) </w:t>
      </w:r>
    </w:p>
    <w:p w14:paraId="7A3712FD" w14:textId="60FE5A72" w:rsidR="002F3F16" w:rsidRPr="0093221C" w:rsidRDefault="009E7BB0" w:rsidP="009E7BB0">
      <w:pPr>
        <w:pStyle w:val="ListParagraph"/>
        <w:ind w:left="0"/>
        <w:rPr>
          <w:color w:val="595959" w:themeColor="text1" w:themeTint="A6"/>
        </w:rPr>
      </w:pPr>
      <w:r w:rsidRPr="0093221C">
        <w:rPr>
          <w:color w:val="595959" w:themeColor="text1" w:themeTint="A6"/>
        </w:rPr>
        <w:t xml:space="preserve">3.    </w:t>
      </w:r>
      <w:r w:rsidR="002F3F16" w:rsidRPr="0093221C">
        <w:rPr>
          <w:color w:val="595959" w:themeColor="text1" w:themeTint="A6"/>
        </w:rPr>
        <w:t xml:space="preserve">ERCC ExFold RNA Spike-In Mixes (Thermo Fisher Scientific, Cat#4456739) </w:t>
      </w:r>
    </w:p>
    <w:p w14:paraId="6599E385" w14:textId="716F63B7" w:rsidR="00BC6DCD" w:rsidRPr="0093221C" w:rsidRDefault="002F3F16" w:rsidP="009E7BB0">
      <w:pPr>
        <w:pStyle w:val="ListParagraph"/>
        <w:ind w:left="360" w:hanging="360"/>
        <w:rPr>
          <w:color w:val="595959" w:themeColor="text1" w:themeTint="A6"/>
        </w:rPr>
      </w:pPr>
      <w:r w:rsidRPr="0093221C">
        <w:rPr>
          <w:color w:val="595959" w:themeColor="text1" w:themeTint="A6"/>
        </w:rPr>
        <w:t>4.</w:t>
      </w:r>
      <w:r w:rsidRPr="0093221C">
        <w:rPr>
          <w:color w:val="595959" w:themeColor="text1" w:themeTint="A6"/>
        </w:rPr>
        <w:tab/>
        <w:t>UltraPure DNase/RNase-free Distilled Water (Thermo Fisher Scientifi</w:t>
      </w:r>
      <w:r w:rsidR="009828DF" w:rsidRPr="0093221C">
        <w:rPr>
          <w:color w:val="595959" w:themeColor="text1" w:themeTint="A6"/>
        </w:rPr>
        <w:t xml:space="preserve">c, Cat#10977023 OR </w:t>
      </w:r>
      <w:r w:rsidRPr="0093221C">
        <w:rPr>
          <w:color w:val="595959" w:themeColor="text1" w:themeTint="A6"/>
        </w:rPr>
        <w:t xml:space="preserve">similar) </w:t>
      </w:r>
    </w:p>
    <w:p w14:paraId="4681BB08" w14:textId="77777777" w:rsidR="00EA70DD" w:rsidRPr="00C20E4B" w:rsidRDefault="00EA70DD" w:rsidP="00DB55A1">
      <w:pPr>
        <w:pStyle w:val="Heading1"/>
        <w:rPr>
          <w:color w:val="003399"/>
          <w:sz w:val="44"/>
          <w:szCs w:val="44"/>
        </w:rPr>
      </w:pPr>
      <w:bookmarkStart w:id="3" w:name="_Toc51854621"/>
      <w:r w:rsidRPr="00C20E4B">
        <w:rPr>
          <w:color w:val="003399"/>
          <w:sz w:val="44"/>
          <w:szCs w:val="44"/>
        </w:rPr>
        <w:t>Procedure</w:t>
      </w:r>
      <w:bookmarkEnd w:id="3"/>
    </w:p>
    <w:p w14:paraId="48373783" w14:textId="43BA0F70" w:rsidR="009828DF" w:rsidRPr="0093221C" w:rsidRDefault="009828DF" w:rsidP="009828DF">
      <w:pPr>
        <w:rPr>
          <w:rFonts w:cstheme="majorHAnsi"/>
          <w:b/>
          <w:color w:val="595959" w:themeColor="text1" w:themeTint="A6"/>
          <w:u w:val="single"/>
        </w:rPr>
      </w:pPr>
      <w:r w:rsidRPr="0093221C">
        <w:rPr>
          <w:rFonts w:cstheme="majorHAnsi"/>
          <w:b/>
          <w:color w:val="595959" w:themeColor="text1" w:themeTint="A6"/>
          <w:u w:val="single"/>
        </w:rPr>
        <w:t xml:space="preserve">ERCC </w:t>
      </w:r>
      <w:r w:rsidR="007B0B2A" w:rsidRPr="0093221C">
        <w:rPr>
          <w:rFonts w:cstheme="majorHAnsi"/>
          <w:b/>
          <w:color w:val="595959" w:themeColor="text1" w:themeTint="A6"/>
          <w:u w:val="single"/>
        </w:rPr>
        <w:t>Spike-In U</w:t>
      </w:r>
      <w:r w:rsidRPr="0093221C">
        <w:rPr>
          <w:rFonts w:cstheme="majorHAnsi"/>
          <w:b/>
          <w:color w:val="595959" w:themeColor="text1" w:themeTint="A6"/>
          <w:u w:val="single"/>
        </w:rPr>
        <w:t>se</w:t>
      </w:r>
    </w:p>
    <w:p w14:paraId="095965E0"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rFonts w:cstheme="majorHAnsi"/>
          <w:color w:val="595959" w:themeColor="text1" w:themeTint="A6"/>
        </w:rPr>
        <w:t>For long term storage, keep unopen, non aliquoted ERCC kits in -80C storage.</w:t>
      </w:r>
    </w:p>
    <w:p w14:paraId="45A5FF37"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rFonts w:cstheme="majorHAnsi"/>
          <w:color w:val="595959" w:themeColor="text1" w:themeTint="A6"/>
        </w:rPr>
        <w:t>ERCC Spike In reagent prep:</w:t>
      </w:r>
    </w:p>
    <w:p w14:paraId="0C3CCDB4" w14:textId="478ABFF5" w:rsidR="009828DF" w:rsidRPr="0093221C" w:rsidRDefault="009828DF" w:rsidP="009828DF">
      <w:pPr>
        <w:pStyle w:val="ListParagraph"/>
        <w:numPr>
          <w:ilvl w:val="1"/>
          <w:numId w:val="8"/>
        </w:numPr>
        <w:spacing w:after="0" w:line="240" w:lineRule="auto"/>
        <w:rPr>
          <w:rFonts w:cstheme="majorHAnsi"/>
          <w:color w:val="595959" w:themeColor="text1" w:themeTint="A6"/>
        </w:rPr>
      </w:pPr>
      <w:r w:rsidRPr="0093221C">
        <w:rPr>
          <w:rFonts w:cstheme="majorHAnsi"/>
          <w:color w:val="595959" w:themeColor="text1" w:themeTint="A6"/>
        </w:rPr>
        <w:t xml:space="preserve">On the day of the experiment, thaw one kit (ERCC Spike-In Mix 1 </w:t>
      </w:r>
      <w:r w:rsidRPr="0093221C">
        <w:rPr>
          <w:rFonts w:cstheme="majorHAnsi"/>
          <w:color w:val="595959" w:themeColor="text1" w:themeTint="A6"/>
        </w:rPr>
        <w:t>and ERCC Spike-In Mix 2) on ice</w:t>
      </w:r>
      <w:r w:rsidRPr="0093221C">
        <w:rPr>
          <w:rFonts w:cstheme="majorHAnsi"/>
          <w:color w:val="595959" w:themeColor="text1" w:themeTint="A6"/>
        </w:rPr>
        <w:t>.</w:t>
      </w:r>
    </w:p>
    <w:p w14:paraId="13AC3B60" w14:textId="77777777" w:rsidR="009828DF" w:rsidRPr="0093221C" w:rsidRDefault="009828DF" w:rsidP="009828DF">
      <w:pPr>
        <w:pStyle w:val="ListParagraph"/>
        <w:numPr>
          <w:ilvl w:val="1"/>
          <w:numId w:val="8"/>
        </w:numPr>
        <w:spacing w:after="0" w:line="240" w:lineRule="auto"/>
        <w:rPr>
          <w:rFonts w:cstheme="majorHAnsi"/>
          <w:color w:val="595959" w:themeColor="text1" w:themeTint="A6"/>
        </w:rPr>
      </w:pPr>
      <w:r w:rsidRPr="0093221C">
        <w:rPr>
          <w:rFonts w:cstheme="majorHAnsi"/>
          <w:color w:val="595959" w:themeColor="text1" w:themeTint="A6"/>
        </w:rPr>
        <w:t>Make ten 1uL aliquots of ERCC Spike-In Mix 1.</w:t>
      </w:r>
    </w:p>
    <w:p w14:paraId="516E8234" w14:textId="77777777" w:rsidR="009828DF" w:rsidRPr="0093221C" w:rsidRDefault="009828DF" w:rsidP="009828DF">
      <w:pPr>
        <w:pStyle w:val="ListParagraph"/>
        <w:numPr>
          <w:ilvl w:val="1"/>
          <w:numId w:val="8"/>
        </w:numPr>
        <w:spacing w:after="0" w:line="240" w:lineRule="auto"/>
        <w:rPr>
          <w:rFonts w:cstheme="majorHAnsi"/>
          <w:color w:val="595959" w:themeColor="text1" w:themeTint="A6"/>
        </w:rPr>
      </w:pPr>
      <w:r w:rsidRPr="0093221C">
        <w:rPr>
          <w:rFonts w:cstheme="majorHAnsi"/>
          <w:color w:val="595959" w:themeColor="text1" w:themeTint="A6"/>
        </w:rPr>
        <w:t>Make ten 1uL aliquots of ERCC Spike-In Mix 2.</w:t>
      </w:r>
    </w:p>
    <w:p w14:paraId="1785E4CD" w14:textId="11711180" w:rsidR="009828DF" w:rsidRPr="0093221C" w:rsidRDefault="009828DF" w:rsidP="009828DF">
      <w:pPr>
        <w:pStyle w:val="ListParagraph"/>
        <w:numPr>
          <w:ilvl w:val="1"/>
          <w:numId w:val="8"/>
        </w:numPr>
        <w:spacing w:after="0" w:line="240" w:lineRule="auto"/>
        <w:rPr>
          <w:rFonts w:cstheme="majorHAnsi"/>
          <w:color w:val="595959" w:themeColor="text1" w:themeTint="A6"/>
        </w:rPr>
      </w:pPr>
      <w:r w:rsidRPr="0093221C">
        <w:rPr>
          <w:rFonts w:cstheme="majorHAnsi"/>
          <w:color w:val="595959" w:themeColor="text1" w:themeTint="A6"/>
        </w:rPr>
        <w:t>S</w:t>
      </w:r>
      <w:r w:rsidRPr="0093221C">
        <w:rPr>
          <w:rFonts w:cstheme="majorHAnsi"/>
          <w:color w:val="595959" w:themeColor="text1" w:themeTint="A6"/>
        </w:rPr>
        <w:t>tore aliquots in -20C until use</w:t>
      </w:r>
      <w:r w:rsidRPr="0093221C">
        <w:rPr>
          <w:rFonts w:cstheme="majorHAnsi"/>
          <w:color w:val="595959" w:themeColor="text1" w:themeTint="A6"/>
        </w:rPr>
        <w:t>.</w:t>
      </w:r>
    </w:p>
    <w:p w14:paraId="06A75322"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rFonts w:cstheme="majorHAnsi"/>
          <w:color w:val="595959" w:themeColor="text1" w:themeTint="A6"/>
        </w:rPr>
        <w:t>Retrieve one tube of Mix 1 and one tube of Mix 2.</w:t>
      </w:r>
    </w:p>
    <w:p w14:paraId="5C2CFDD7"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rFonts w:cstheme="majorHAnsi"/>
          <w:color w:val="595959" w:themeColor="text1" w:themeTint="A6"/>
        </w:rPr>
        <w:t xml:space="preserve">Dilute each mix 1:100 by adding 99uL of DNase/RNase-free distilled water into the ERCC mix tube, briefly vortex and spin down the tube. </w:t>
      </w:r>
    </w:p>
    <w:p w14:paraId="45130DAD"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rFonts w:cstheme="majorHAnsi"/>
          <w:color w:val="595959" w:themeColor="text1" w:themeTint="A6"/>
        </w:rPr>
        <w:t>Keep 1:100 ERCC Spike In mixes on ice until use.</w:t>
      </w:r>
    </w:p>
    <w:p w14:paraId="07008742"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rFonts w:cstheme="majorHAnsi"/>
          <w:color w:val="595959" w:themeColor="text1" w:themeTint="A6"/>
        </w:rPr>
        <w:t>On the day of the library preparation follow one of the following options:</w:t>
      </w:r>
    </w:p>
    <w:p w14:paraId="3A51A78C" w14:textId="77777777" w:rsidR="009828DF" w:rsidRPr="0093221C" w:rsidRDefault="009828DF" w:rsidP="009828DF">
      <w:pPr>
        <w:pStyle w:val="ListParagraph"/>
        <w:numPr>
          <w:ilvl w:val="1"/>
          <w:numId w:val="8"/>
        </w:numPr>
        <w:spacing w:after="0" w:line="240" w:lineRule="auto"/>
        <w:rPr>
          <w:rFonts w:cstheme="majorHAnsi"/>
          <w:color w:val="595959" w:themeColor="text1" w:themeTint="A6"/>
        </w:rPr>
      </w:pPr>
      <w:r w:rsidRPr="0093221C">
        <w:rPr>
          <w:rFonts w:cstheme="majorHAnsi"/>
          <w:color w:val="595959" w:themeColor="text1" w:themeTint="A6"/>
        </w:rPr>
        <w:t xml:space="preserve">Normalize an RNA aliquot to 1.5ug of RNA in 17uL of RNase/DNase free water. </w:t>
      </w:r>
    </w:p>
    <w:p w14:paraId="69958504" w14:textId="77777777" w:rsidR="009828DF" w:rsidRPr="0093221C" w:rsidRDefault="009828DF" w:rsidP="009828DF">
      <w:pPr>
        <w:pStyle w:val="ListParagraph"/>
        <w:numPr>
          <w:ilvl w:val="1"/>
          <w:numId w:val="8"/>
        </w:numPr>
        <w:spacing w:after="0" w:line="240" w:lineRule="auto"/>
        <w:rPr>
          <w:rFonts w:cstheme="majorHAnsi"/>
          <w:color w:val="595959" w:themeColor="text1" w:themeTint="A6"/>
        </w:rPr>
      </w:pPr>
      <w:r w:rsidRPr="0093221C">
        <w:rPr>
          <w:rFonts w:cstheme="majorHAnsi"/>
          <w:color w:val="595959" w:themeColor="text1" w:themeTint="A6"/>
        </w:rPr>
        <w:t xml:space="preserve">If working with Pre-normalized RNA aliquots, take it out of the storage and fully thaw before adding the ERCC mixes.  Quantify RNA using Qubit BR RNA reagent to make sure the concentration range is acceptable. </w:t>
      </w:r>
    </w:p>
    <w:p w14:paraId="769155A7" w14:textId="4645E7C0" w:rsidR="009828DF" w:rsidRPr="0093221C" w:rsidRDefault="009828DF" w:rsidP="009828DF">
      <w:pPr>
        <w:ind w:left="150"/>
        <w:rPr>
          <w:rFonts w:cstheme="majorHAnsi"/>
          <w:color w:val="595959" w:themeColor="text1" w:themeTint="A6"/>
        </w:rPr>
      </w:pPr>
      <w:r w:rsidRPr="0093221C">
        <w:rPr>
          <w:rFonts w:cstheme="majorHAnsi"/>
          <w:b/>
          <w:bCs/>
          <w:color w:val="595959" w:themeColor="text1" w:themeTint="A6"/>
        </w:rPr>
        <w:t>Note:</w:t>
      </w:r>
      <w:r w:rsidRPr="0093221C">
        <w:rPr>
          <w:rFonts w:cstheme="majorHAnsi"/>
          <w:color w:val="595959" w:themeColor="text1" w:themeTint="A6"/>
        </w:rPr>
        <w:t xml:space="preserve"> Follow the ERCC RNA Spike-In User Guide if using a different RNA concentration/Spike in dilution. </w:t>
      </w:r>
    </w:p>
    <w:p w14:paraId="408FD07E" w14:textId="77777777" w:rsidR="009828DF" w:rsidRPr="00DC3399" w:rsidRDefault="009828DF" w:rsidP="009828DF">
      <w:pPr>
        <w:rPr>
          <w:rFonts w:cstheme="majorHAnsi"/>
        </w:rPr>
      </w:pPr>
      <w:r>
        <w:rPr>
          <w:rFonts w:cstheme="majorHAnsi"/>
          <w:noProof/>
        </w:rPr>
        <w:lastRenderedPageBreak/>
        <w:drawing>
          <wp:inline distT="0" distB="0" distL="0" distR="0" wp14:anchorId="4A8283EF" wp14:editId="0C0C4EEE">
            <wp:extent cx="3152775" cy="1837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204E59.tmp"/>
                    <pic:cNvPicPr/>
                  </pic:nvPicPr>
                  <pic:blipFill>
                    <a:blip r:embed="rId8">
                      <a:extLst>
                        <a:ext uri="{28A0092B-C50C-407E-A947-70E740481C1C}">
                          <a14:useLocalDpi xmlns:a14="http://schemas.microsoft.com/office/drawing/2010/main" val="0"/>
                        </a:ext>
                      </a:extLst>
                    </a:blip>
                    <a:stretch>
                      <a:fillRect/>
                    </a:stretch>
                  </pic:blipFill>
                  <pic:spPr>
                    <a:xfrm>
                      <a:off x="0" y="0"/>
                      <a:ext cx="3166210" cy="1845588"/>
                    </a:xfrm>
                    <a:prstGeom prst="rect">
                      <a:avLst/>
                    </a:prstGeom>
                  </pic:spPr>
                </pic:pic>
              </a:graphicData>
            </a:graphic>
          </wp:inline>
        </w:drawing>
      </w:r>
    </w:p>
    <w:p w14:paraId="683E501B"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rFonts w:cstheme="majorHAnsi"/>
          <w:color w:val="595959" w:themeColor="text1" w:themeTint="A6"/>
        </w:rPr>
        <w:t>Add 3uL of either Mix 1 or Mix 2 at 1:100 dilution into all of the thawed RNA aliquots of 1.5ug.</w:t>
      </w:r>
    </w:p>
    <w:p w14:paraId="39940FF3"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color w:val="595959" w:themeColor="text1" w:themeTint="A6"/>
        </w:rPr>
        <w:t>Mix by vortexing.</w:t>
      </w:r>
    </w:p>
    <w:p w14:paraId="0034A596" w14:textId="711318D2" w:rsidR="009828DF" w:rsidRPr="0093221C" w:rsidRDefault="007B0B2A" w:rsidP="009828DF">
      <w:pPr>
        <w:pStyle w:val="ListParagraph"/>
        <w:numPr>
          <w:ilvl w:val="0"/>
          <w:numId w:val="8"/>
        </w:numPr>
        <w:spacing w:after="0" w:line="240" w:lineRule="auto"/>
        <w:rPr>
          <w:rFonts w:cstheme="majorHAnsi"/>
          <w:color w:val="595959" w:themeColor="text1" w:themeTint="A6"/>
        </w:rPr>
      </w:pPr>
      <w:r w:rsidRPr="0093221C">
        <w:rPr>
          <w:color w:val="595959" w:themeColor="text1" w:themeTint="A6"/>
        </w:rPr>
        <w:t>Centrifuge the RNA+Spike-</w:t>
      </w:r>
      <w:r w:rsidR="009828DF" w:rsidRPr="0093221C">
        <w:rPr>
          <w:color w:val="595959" w:themeColor="text1" w:themeTint="A6"/>
        </w:rPr>
        <w:t xml:space="preserve">in tubes. </w:t>
      </w:r>
    </w:p>
    <w:p w14:paraId="7EC129D4"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color w:val="595959" w:themeColor="text1" w:themeTint="A6"/>
        </w:rPr>
        <w:t>Record the Lot number of the spike in used.</w:t>
      </w:r>
    </w:p>
    <w:p w14:paraId="536EAF04"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color w:val="595959" w:themeColor="text1" w:themeTint="A6"/>
        </w:rPr>
        <w:t xml:space="preserve">Record what Mix was added to each sample, mix dilution and volume added. </w:t>
      </w:r>
    </w:p>
    <w:p w14:paraId="583CFE33"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color w:val="595959" w:themeColor="text1" w:themeTint="A6"/>
        </w:rPr>
        <w:t>Proceed with library prep procedure as described in GL-SOP-5.1.</w:t>
      </w:r>
    </w:p>
    <w:p w14:paraId="36F0CAE3" w14:textId="77777777" w:rsidR="009828DF" w:rsidRDefault="009828DF" w:rsidP="009828DF">
      <w:pPr>
        <w:rPr>
          <w:rFonts w:cstheme="majorHAnsi"/>
        </w:rPr>
      </w:pPr>
    </w:p>
    <w:p w14:paraId="0BE81D2B" w14:textId="16B08EE1" w:rsidR="009828DF" w:rsidRPr="0093221C" w:rsidRDefault="009828DF" w:rsidP="009828DF">
      <w:pPr>
        <w:rPr>
          <w:rFonts w:cstheme="majorHAnsi"/>
          <w:b/>
          <w:color w:val="595959" w:themeColor="text1" w:themeTint="A6"/>
          <w:u w:val="single"/>
        </w:rPr>
      </w:pPr>
      <w:r w:rsidRPr="0093221C">
        <w:rPr>
          <w:rFonts w:cstheme="majorHAnsi"/>
          <w:b/>
          <w:color w:val="595959" w:themeColor="text1" w:themeTint="A6"/>
          <w:u w:val="single"/>
        </w:rPr>
        <w:t xml:space="preserve">UMRR/UHRR Use </w:t>
      </w:r>
    </w:p>
    <w:p w14:paraId="62B3C313"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rFonts w:cstheme="majorHAnsi"/>
          <w:color w:val="595959" w:themeColor="text1" w:themeTint="A6"/>
        </w:rPr>
        <w:t>Add a minimum of 3 UMRR/UHRR samples to each library prep run.</w:t>
      </w:r>
    </w:p>
    <w:p w14:paraId="254FA28B"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rFonts w:cstheme="majorHAnsi"/>
          <w:color w:val="595959" w:themeColor="text1" w:themeTint="A6"/>
        </w:rPr>
        <w:t>If using automation, maintain the same location on the plate (A1, D6, H4 for example) if several plated are required to prep all libraries for the pool.</w:t>
      </w:r>
    </w:p>
    <w:p w14:paraId="7B1B84E3"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rFonts w:cstheme="majorHAnsi"/>
          <w:color w:val="595959" w:themeColor="text1" w:themeTint="A6"/>
        </w:rPr>
        <w:t>Make aliquots of UMRR/UHRR following the User Guide and store them at -80C until use</w:t>
      </w:r>
    </w:p>
    <w:p w14:paraId="69C5E2DC"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rFonts w:cstheme="majorHAnsi"/>
          <w:color w:val="595959" w:themeColor="text1" w:themeTint="A6"/>
        </w:rPr>
        <w:t>On the day of the library preparation, thaw sufficient amount of reference RNA.</w:t>
      </w:r>
    </w:p>
    <w:p w14:paraId="679D0F6D" w14:textId="77777777" w:rsidR="009828DF" w:rsidRPr="0093221C" w:rsidRDefault="009828DF" w:rsidP="009828DF">
      <w:pPr>
        <w:pStyle w:val="ListParagraph"/>
        <w:numPr>
          <w:ilvl w:val="0"/>
          <w:numId w:val="8"/>
        </w:numPr>
        <w:spacing w:after="0" w:line="240" w:lineRule="auto"/>
        <w:rPr>
          <w:rFonts w:cstheme="majorHAnsi"/>
          <w:color w:val="595959" w:themeColor="text1" w:themeTint="A6"/>
        </w:rPr>
      </w:pPr>
      <w:r w:rsidRPr="0093221C">
        <w:rPr>
          <w:rFonts w:cstheme="majorHAnsi"/>
          <w:color w:val="595959" w:themeColor="text1" w:themeTint="A6"/>
        </w:rPr>
        <w:t>Add ERCC Spike-in mix into UMRR/UHRR aliquots, maintain the same Spike-RNA ratio as used for test RNA samples.</w:t>
      </w:r>
    </w:p>
    <w:p w14:paraId="0F65ABF5" w14:textId="77777777" w:rsidR="009828DF" w:rsidRPr="0093221C" w:rsidRDefault="009828DF" w:rsidP="009828DF">
      <w:pPr>
        <w:pStyle w:val="ListParagraph"/>
        <w:numPr>
          <w:ilvl w:val="0"/>
          <w:numId w:val="8"/>
        </w:numPr>
        <w:spacing w:after="0" w:line="240" w:lineRule="auto"/>
        <w:rPr>
          <w:color w:val="595959" w:themeColor="text1" w:themeTint="A6"/>
        </w:rPr>
      </w:pPr>
      <w:r w:rsidRPr="0093221C">
        <w:rPr>
          <w:color w:val="595959" w:themeColor="text1" w:themeTint="A6"/>
        </w:rPr>
        <w:t xml:space="preserve"> Proceed with library prep procedure along with test RNA samples as described in GL-SOP-5.1. </w:t>
      </w:r>
    </w:p>
    <w:p w14:paraId="06BA216D" w14:textId="77777777" w:rsidR="00A46CE8" w:rsidRPr="0093221C" w:rsidRDefault="00A46CE8" w:rsidP="00EA70DD">
      <w:pPr>
        <w:rPr>
          <w:color w:val="595959" w:themeColor="text1" w:themeTint="A6"/>
        </w:rPr>
      </w:pPr>
      <w:bookmarkStart w:id="4" w:name="_GoBack"/>
      <w:bookmarkEnd w:id="4"/>
    </w:p>
    <w:p w14:paraId="298184E0" w14:textId="77777777" w:rsidR="006F5082" w:rsidRPr="00B71785" w:rsidRDefault="006F5082" w:rsidP="00EA70DD"/>
    <w:p w14:paraId="68D35027" w14:textId="77777777" w:rsidR="006F5082" w:rsidRPr="00B71785" w:rsidRDefault="006F5082" w:rsidP="00EA70DD"/>
    <w:p w14:paraId="0DB6CCA6" w14:textId="77777777" w:rsidR="006F5082" w:rsidRPr="00B71785" w:rsidRDefault="006F5082" w:rsidP="00EA70DD"/>
    <w:p w14:paraId="38D5C609" w14:textId="77777777" w:rsidR="006F5082" w:rsidRPr="00B71785" w:rsidRDefault="006F5082" w:rsidP="00EA70DD"/>
    <w:p w14:paraId="7C1B16EA" w14:textId="77777777" w:rsidR="006F5082" w:rsidRPr="00B71785" w:rsidRDefault="006F5082" w:rsidP="00EA70DD"/>
    <w:p w14:paraId="364B126F" w14:textId="77777777" w:rsidR="006F5082" w:rsidRPr="00B71785" w:rsidRDefault="006F5082" w:rsidP="00EA70DD"/>
    <w:p w14:paraId="790EF6E0" w14:textId="77777777" w:rsidR="006F5082" w:rsidRPr="00B71785" w:rsidRDefault="006F5082" w:rsidP="00EA70DD"/>
    <w:p w14:paraId="4E21E550" w14:textId="77777777" w:rsidR="006F5082" w:rsidRPr="00B71785" w:rsidRDefault="006F5082" w:rsidP="00EA70DD"/>
    <w:p w14:paraId="0567044F" w14:textId="77777777" w:rsidR="006F5082" w:rsidRPr="00B71785" w:rsidRDefault="006F5082" w:rsidP="00EA70DD"/>
    <w:p w14:paraId="5C1D00CC" w14:textId="77777777" w:rsidR="006F5082" w:rsidRPr="00B71785" w:rsidRDefault="006F5082" w:rsidP="00EA70DD"/>
    <w:p w14:paraId="5FB4717E" w14:textId="77777777" w:rsidR="006F5082" w:rsidRPr="00B71785" w:rsidRDefault="006F5082" w:rsidP="00EA70DD"/>
    <w:p w14:paraId="2872D161" w14:textId="77777777" w:rsidR="006F5082" w:rsidRDefault="006F5082" w:rsidP="00EA70DD">
      <w:pPr>
        <w:rPr>
          <w:sz w:val="24"/>
          <w:szCs w:val="24"/>
        </w:rPr>
      </w:pPr>
    </w:p>
    <w:p w14:paraId="57D75193" w14:textId="77777777" w:rsidR="006F5082" w:rsidRPr="00B71785" w:rsidRDefault="006F5082" w:rsidP="00EA70DD"/>
    <w:sectPr w:rsidR="006F5082" w:rsidRPr="00B71785" w:rsidSect="00CA11F2">
      <w:headerReference w:type="default" r:id="rId9"/>
      <w:footerReference w:type="default" r:id="rId10"/>
      <w:pgSz w:w="12240" w:h="15840"/>
      <w:pgMar w:top="1440" w:right="1440" w:bottom="1440" w:left="144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CCEA8" w14:textId="77777777" w:rsidR="00E52DD3" w:rsidRDefault="00E52DD3" w:rsidP="004A4AC8">
      <w:pPr>
        <w:spacing w:after="0" w:line="240" w:lineRule="auto"/>
      </w:pPr>
      <w:r>
        <w:separator/>
      </w:r>
    </w:p>
  </w:endnote>
  <w:endnote w:type="continuationSeparator" w:id="0">
    <w:p w14:paraId="0237E44A" w14:textId="77777777" w:rsidR="00E52DD3" w:rsidRDefault="00E52DD3" w:rsidP="004A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401C8" w14:textId="5F0513C5" w:rsidR="000066C6" w:rsidRDefault="000066C6" w:rsidP="00311E3C">
    <w:pPr>
      <w:pBdr>
        <w:bottom w:val="single" w:sz="12" w:space="1" w:color="auto"/>
      </w:pBdr>
      <w:tabs>
        <w:tab w:val="center" w:pos="4550"/>
        <w:tab w:val="left" w:pos="5818"/>
      </w:tabs>
      <w:ind w:right="260"/>
      <w:rPr>
        <w:color w:val="0099CC"/>
        <w:spacing w:val="60"/>
        <w:sz w:val="24"/>
        <w:szCs w:val="24"/>
      </w:rPr>
    </w:pPr>
  </w:p>
  <w:p w14:paraId="552C7184" w14:textId="6AB9E9AB" w:rsidR="00311E3C" w:rsidRPr="00C20E4B" w:rsidRDefault="00C20E4B" w:rsidP="00311E3C">
    <w:pPr>
      <w:tabs>
        <w:tab w:val="center" w:pos="4550"/>
        <w:tab w:val="left" w:pos="5818"/>
      </w:tabs>
      <w:ind w:right="260"/>
      <w:rPr>
        <w:rFonts w:ascii="Arial Narrow" w:hAnsi="Arial Narrow" w:cstheme="minorHAnsi"/>
        <w:color w:val="003399"/>
        <w:sz w:val="18"/>
        <w:szCs w:val="18"/>
      </w:rPr>
    </w:pPr>
    <w:r>
      <w:rPr>
        <w:color w:val="0099CC"/>
        <w:spacing w:val="60"/>
        <w:sz w:val="24"/>
        <w:szCs w:val="24"/>
      </w:rPr>
      <w:tab/>
    </w:r>
    <w:r>
      <w:rPr>
        <w:color w:val="0099CC"/>
        <w:spacing w:val="60"/>
        <w:sz w:val="24"/>
        <w:szCs w:val="24"/>
      </w:rPr>
      <w:tab/>
    </w:r>
    <w:r>
      <w:rPr>
        <w:color w:val="0099CC"/>
        <w:spacing w:val="60"/>
        <w:sz w:val="24"/>
        <w:szCs w:val="24"/>
      </w:rPr>
      <w:tab/>
      <w:t xml:space="preserve">    </w:t>
    </w:r>
    <w:r w:rsidR="00311E3C" w:rsidRPr="00C20E4B">
      <w:rPr>
        <w:rFonts w:ascii="Arial Narrow" w:hAnsi="Arial Narrow" w:cstheme="minorHAnsi"/>
        <w:color w:val="003399"/>
        <w:spacing w:val="60"/>
        <w:sz w:val="18"/>
        <w:szCs w:val="18"/>
      </w:rPr>
      <w:t xml:space="preserve">  </w:t>
    </w:r>
    <w:r>
      <w:rPr>
        <w:rFonts w:ascii="Arial Narrow" w:hAnsi="Arial Narrow" w:cstheme="minorHAnsi"/>
        <w:color w:val="003399"/>
        <w:spacing w:val="60"/>
        <w:sz w:val="18"/>
        <w:szCs w:val="18"/>
      </w:rPr>
      <w:t xml:space="preserve">         </w:t>
    </w:r>
    <w:r w:rsidR="00147E08">
      <w:rPr>
        <w:rFonts w:ascii="Arial Narrow" w:hAnsi="Arial Narrow" w:cstheme="minorHAnsi"/>
        <w:color w:val="003399"/>
        <w:spacing w:val="60"/>
        <w:sz w:val="18"/>
        <w:szCs w:val="18"/>
      </w:rPr>
      <w:tab/>
    </w:r>
    <w:r w:rsidR="00147E08">
      <w:rPr>
        <w:rFonts w:ascii="Arial Narrow" w:hAnsi="Arial Narrow" w:cstheme="minorHAnsi"/>
        <w:color w:val="003399"/>
        <w:spacing w:val="60"/>
        <w:sz w:val="18"/>
        <w:szCs w:val="18"/>
      </w:rPr>
      <w:tab/>
      <w:t xml:space="preserve"> </w:t>
    </w:r>
    <w:r w:rsidRPr="00C20E4B">
      <w:rPr>
        <w:rFonts w:ascii="Arial Narrow" w:hAnsi="Arial Narrow" w:cstheme="minorHAnsi"/>
        <w:color w:val="595959" w:themeColor="text1" w:themeTint="A6"/>
        <w:spacing w:val="60"/>
        <w:sz w:val="18"/>
        <w:szCs w:val="18"/>
      </w:rPr>
      <w:t>Page</w:t>
    </w:r>
    <w:r w:rsidRPr="00C20E4B">
      <w:rPr>
        <w:rFonts w:ascii="Arial Narrow" w:hAnsi="Arial Narrow" w:cstheme="minorHAnsi"/>
        <w:color w:val="003399"/>
        <w:spacing w:val="60"/>
        <w:sz w:val="18"/>
        <w:szCs w:val="18"/>
      </w:rPr>
      <w:t xml:space="preserve"> | </w:t>
    </w:r>
    <w:r w:rsidRPr="00C20E4B">
      <w:rPr>
        <w:rFonts w:ascii="Arial Narrow" w:hAnsi="Arial Narrow" w:cstheme="minorHAnsi"/>
        <w:color w:val="003399"/>
        <w:spacing w:val="60"/>
        <w:sz w:val="18"/>
        <w:szCs w:val="18"/>
      </w:rPr>
      <w:fldChar w:fldCharType="begin"/>
    </w:r>
    <w:r w:rsidRPr="00C20E4B">
      <w:rPr>
        <w:rFonts w:ascii="Arial Narrow" w:hAnsi="Arial Narrow" w:cstheme="minorHAnsi"/>
        <w:color w:val="003399"/>
        <w:spacing w:val="60"/>
        <w:sz w:val="18"/>
        <w:szCs w:val="18"/>
      </w:rPr>
      <w:instrText xml:space="preserve"> PAGE   \* MERGEFORMAT </w:instrText>
    </w:r>
    <w:r w:rsidRPr="00C20E4B">
      <w:rPr>
        <w:rFonts w:ascii="Arial Narrow" w:hAnsi="Arial Narrow" w:cstheme="minorHAnsi"/>
        <w:color w:val="003399"/>
        <w:spacing w:val="60"/>
        <w:sz w:val="18"/>
        <w:szCs w:val="18"/>
      </w:rPr>
      <w:fldChar w:fldCharType="separate"/>
    </w:r>
    <w:r w:rsidR="0093221C" w:rsidRPr="0093221C">
      <w:rPr>
        <w:rFonts w:ascii="Arial Narrow" w:hAnsi="Arial Narrow" w:cstheme="minorHAnsi"/>
        <w:b/>
        <w:bCs/>
        <w:noProof/>
        <w:color w:val="003399"/>
        <w:spacing w:val="60"/>
        <w:sz w:val="18"/>
        <w:szCs w:val="18"/>
      </w:rPr>
      <w:t>1</w:t>
    </w:r>
    <w:r w:rsidRPr="00C20E4B">
      <w:rPr>
        <w:rFonts w:ascii="Arial Narrow" w:hAnsi="Arial Narrow" w:cstheme="minorHAnsi"/>
        <w:b/>
        <w:bCs/>
        <w:noProof/>
        <w:color w:val="003399"/>
        <w:spacing w:val="60"/>
        <w:sz w:val="18"/>
        <w:szCs w:val="18"/>
      </w:rPr>
      <w:fldChar w:fldCharType="end"/>
    </w:r>
  </w:p>
  <w:p w14:paraId="01431B04" w14:textId="58E0E32B" w:rsidR="004A4AC8" w:rsidRPr="00311E3C" w:rsidRDefault="00D4281A" w:rsidP="00311E3C">
    <w:pPr>
      <w:tabs>
        <w:tab w:val="center" w:pos="4550"/>
        <w:tab w:val="left" w:pos="5818"/>
      </w:tabs>
      <w:ind w:right="260"/>
      <w:rPr>
        <w:rFonts w:cstheme="minorHAnsi"/>
        <w:color w:val="003399"/>
        <w:sz w:val="14"/>
        <w:szCs w:val="14"/>
      </w:rPr>
    </w:pPr>
    <w:r w:rsidRPr="00311E3C">
      <w:rPr>
        <w:rFonts w:cstheme="minorHAnsi"/>
        <w:color w:val="003399"/>
        <w:spacing w:val="60"/>
        <w:sz w:val="14"/>
        <w:szCs w:val="14"/>
      </w:rPr>
      <w:tab/>
    </w:r>
    <w:r w:rsidRPr="00311E3C">
      <w:rPr>
        <w:rFonts w:cstheme="minorHAnsi"/>
        <w:color w:val="003399"/>
        <w:spacing w:val="60"/>
        <w:sz w:val="14"/>
        <w:szCs w:val="14"/>
      </w:rPr>
      <w:tab/>
    </w:r>
    <w:r w:rsidRPr="00311E3C">
      <w:rPr>
        <w:rFonts w:cstheme="minorHAnsi"/>
        <w:color w:val="003399"/>
        <w:spacing w:val="60"/>
        <w:sz w:val="14"/>
        <w:szCs w:val="14"/>
      </w:rPr>
      <w:tab/>
    </w:r>
    <w:r w:rsidRPr="00311E3C">
      <w:rPr>
        <w:rFonts w:cstheme="minorHAnsi"/>
        <w:color w:val="003399"/>
        <w:spacing w:val="60"/>
        <w:sz w:val="14"/>
        <w:szCs w:val="14"/>
      </w:rPr>
      <w:tab/>
    </w:r>
    <w:r w:rsidR="004A4AC8" w:rsidRPr="00311E3C">
      <w:rPr>
        <w:rFonts w:cstheme="minorHAnsi"/>
        <w:color w:val="003399"/>
        <w:sz w:val="14"/>
        <w:szCs w:val="14"/>
      </w:rPr>
      <w:t xml:space="preserve"> </w:t>
    </w:r>
  </w:p>
  <w:p w14:paraId="06702154" w14:textId="77777777" w:rsidR="009A2282" w:rsidRDefault="009A2282">
    <w:pPr>
      <w:tabs>
        <w:tab w:val="center" w:pos="4550"/>
        <w:tab w:val="left" w:pos="5818"/>
      </w:tabs>
      <w:ind w:right="260"/>
      <w:jc w:val="right"/>
      <w:rPr>
        <w:color w:val="222A35" w:themeColor="text2" w:themeShade="80"/>
        <w:sz w:val="24"/>
        <w:szCs w:val="24"/>
      </w:rPr>
    </w:pPr>
  </w:p>
  <w:p w14:paraId="16BB41D3" w14:textId="77777777" w:rsidR="004A4AC8" w:rsidRDefault="004A4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AEE20" w14:textId="77777777" w:rsidR="00E52DD3" w:rsidRDefault="00E52DD3" w:rsidP="004A4AC8">
      <w:pPr>
        <w:spacing w:after="0" w:line="240" w:lineRule="auto"/>
      </w:pPr>
      <w:r>
        <w:separator/>
      </w:r>
    </w:p>
  </w:footnote>
  <w:footnote w:type="continuationSeparator" w:id="0">
    <w:p w14:paraId="64DAE7D2" w14:textId="77777777" w:rsidR="00E52DD3" w:rsidRDefault="00E52DD3" w:rsidP="004A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DE263" w14:textId="57B52687" w:rsidR="004A4AC8" w:rsidRDefault="00DF3ED8" w:rsidP="00683576">
    <w:pPr>
      <w:pStyle w:val="Header"/>
      <w:pBdr>
        <w:bottom w:val="single" w:sz="12" w:space="1" w:color="auto"/>
      </w:pBdr>
      <w:tabs>
        <w:tab w:val="clear" w:pos="9360"/>
        <w:tab w:val="right" w:pos="10800"/>
      </w:tabs>
      <w:rPr>
        <w:b/>
        <w:bCs/>
        <w:noProof/>
        <w:color w:val="0099CC"/>
        <w:sz w:val="72"/>
        <w:szCs w:val="72"/>
      </w:rPr>
    </w:pPr>
    <w:r>
      <w:rPr>
        <w:rFonts w:ascii="Arial" w:eastAsia="Times New Roman" w:hAnsi="Arial" w:cs="Arial"/>
        <w:b/>
        <w:noProof/>
        <w:sz w:val="20"/>
      </w:rPr>
      <w:drawing>
        <wp:inline distT="0" distB="0" distL="0" distR="0" wp14:anchorId="465511B3" wp14:editId="5E835046">
          <wp:extent cx="2084127" cy="4775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1955" cy="527429"/>
                  </a:xfrm>
                  <a:prstGeom prst="rect">
                    <a:avLst/>
                  </a:prstGeom>
                  <a:noFill/>
                  <a:ln>
                    <a:noFill/>
                  </a:ln>
                </pic:spPr>
              </pic:pic>
            </a:graphicData>
          </a:graphic>
        </wp:inline>
      </w:drawing>
    </w:r>
    <w:r w:rsidR="004A4AC8">
      <w:tab/>
    </w:r>
    <w:r w:rsidR="004A4AC8">
      <w:tab/>
    </w:r>
    <w:r w:rsidR="00683576">
      <w:t xml:space="preserve">        </w:t>
    </w:r>
    <w:r w:rsidR="00B358F9" w:rsidRPr="00C20E4B">
      <w:rPr>
        <w:rFonts w:ascii="Calibri" w:hAnsi="Calibri" w:cs="Calibri"/>
        <w:noProof/>
        <w:color w:val="003399"/>
        <w:sz w:val="52"/>
        <w:szCs w:val="52"/>
      </w:rPr>
      <w:t>SOP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F52"/>
    <w:multiLevelType w:val="hybridMultilevel"/>
    <w:tmpl w:val="9BFE0EC4"/>
    <w:lvl w:ilvl="0" w:tplc="F54E68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579A1"/>
    <w:multiLevelType w:val="hybridMultilevel"/>
    <w:tmpl w:val="891A52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4D1D5E"/>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5BD7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56534D"/>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1541943"/>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9AA7571"/>
    <w:multiLevelType w:val="hybridMultilevel"/>
    <w:tmpl w:val="3C0E4522"/>
    <w:lvl w:ilvl="0" w:tplc="63146CE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443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7"/>
  </w:num>
  <w:num w:numId="4">
    <w:abstractNumId w:val="3"/>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AC8"/>
    <w:rsid w:val="000066C6"/>
    <w:rsid w:val="000541FA"/>
    <w:rsid w:val="0006750A"/>
    <w:rsid w:val="0009214C"/>
    <w:rsid w:val="000A2017"/>
    <w:rsid w:val="00143AD3"/>
    <w:rsid w:val="00147E08"/>
    <w:rsid w:val="00183390"/>
    <w:rsid w:val="00250DE1"/>
    <w:rsid w:val="002F3F16"/>
    <w:rsid w:val="00311E3C"/>
    <w:rsid w:val="0035309A"/>
    <w:rsid w:val="00361193"/>
    <w:rsid w:val="00364859"/>
    <w:rsid w:val="0039176D"/>
    <w:rsid w:val="00484F03"/>
    <w:rsid w:val="004A4AC8"/>
    <w:rsid w:val="00550D7B"/>
    <w:rsid w:val="00567CA2"/>
    <w:rsid w:val="005D17A7"/>
    <w:rsid w:val="00683576"/>
    <w:rsid w:val="006F5082"/>
    <w:rsid w:val="00740196"/>
    <w:rsid w:val="00766226"/>
    <w:rsid w:val="0078494F"/>
    <w:rsid w:val="007B0B2A"/>
    <w:rsid w:val="007C3504"/>
    <w:rsid w:val="00847E7A"/>
    <w:rsid w:val="008E7346"/>
    <w:rsid w:val="009200EB"/>
    <w:rsid w:val="0093221C"/>
    <w:rsid w:val="00934AC0"/>
    <w:rsid w:val="00943DB1"/>
    <w:rsid w:val="00967D0B"/>
    <w:rsid w:val="00977F04"/>
    <w:rsid w:val="009828DF"/>
    <w:rsid w:val="00987195"/>
    <w:rsid w:val="009A2282"/>
    <w:rsid w:val="009E1ED0"/>
    <w:rsid w:val="009E7BB0"/>
    <w:rsid w:val="00A46CE8"/>
    <w:rsid w:val="00AC0853"/>
    <w:rsid w:val="00AF1A47"/>
    <w:rsid w:val="00B060D8"/>
    <w:rsid w:val="00B358F9"/>
    <w:rsid w:val="00B43DB4"/>
    <w:rsid w:val="00B71785"/>
    <w:rsid w:val="00B73DCA"/>
    <w:rsid w:val="00B74F15"/>
    <w:rsid w:val="00BC6DCD"/>
    <w:rsid w:val="00C143FA"/>
    <w:rsid w:val="00C20E4B"/>
    <w:rsid w:val="00C26DD6"/>
    <w:rsid w:val="00C33A93"/>
    <w:rsid w:val="00C42CD2"/>
    <w:rsid w:val="00C53D29"/>
    <w:rsid w:val="00C60C14"/>
    <w:rsid w:val="00C7577D"/>
    <w:rsid w:val="00CA11F2"/>
    <w:rsid w:val="00CE1F5C"/>
    <w:rsid w:val="00D243F6"/>
    <w:rsid w:val="00D4281A"/>
    <w:rsid w:val="00D5686E"/>
    <w:rsid w:val="00DB55A1"/>
    <w:rsid w:val="00DF3863"/>
    <w:rsid w:val="00DF3ED8"/>
    <w:rsid w:val="00E46191"/>
    <w:rsid w:val="00E52DD3"/>
    <w:rsid w:val="00E80281"/>
    <w:rsid w:val="00E9679C"/>
    <w:rsid w:val="00EA70DD"/>
    <w:rsid w:val="00ED16D9"/>
    <w:rsid w:val="00F03723"/>
    <w:rsid w:val="00F7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115BA6"/>
  <w15:chartTrackingRefBased/>
  <w15:docId w15:val="{A3ED42F9-48F9-41A8-AEDA-552294EF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5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AC8"/>
  </w:style>
  <w:style w:type="paragraph" w:styleId="Footer">
    <w:name w:val="footer"/>
    <w:basedOn w:val="Normal"/>
    <w:link w:val="FooterChar"/>
    <w:uiPriority w:val="99"/>
    <w:unhideWhenUsed/>
    <w:rsid w:val="004A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AC8"/>
  </w:style>
  <w:style w:type="table" w:styleId="TableGrid">
    <w:name w:val="Table Grid"/>
    <w:basedOn w:val="TableNormal"/>
    <w:uiPriority w:val="39"/>
    <w:rsid w:val="009A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9A22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A2282"/>
    <w:pPr>
      <w:ind w:left="720"/>
      <w:contextualSpacing/>
    </w:pPr>
  </w:style>
  <w:style w:type="character" w:customStyle="1" w:styleId="Heading1Char">
    <w:name w:val="Heading 1 Char"/>
    <w:basedOn w:val="DefaultParagraphFont"/>
    <w:link w:val="Heading1"/>
    <w:uiPriority w:val="9"/>
    <w:rsid w:val="00DB55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5A1"/>
    <w:pPr>
      <w:outlineLvl w:val="9"/>
    </w:pPr>
  </w:style>
  <w:style w:type="paragraph" w:styleId="BalloonText">
    <w:name w:val="Balloon Text"/>
    <w:basedOn w:val="Normal"/>
    <w:link w:val="BalloonTextChar"/>
    <w:uiPriority w:val="99"/>
    <w:semiHidden/>
    <w:unhideWhenUsed/>
    <w:rsid w:val="00DB5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5A1"/>
    <w:rPr>
      <w:rFonts w:ascii="Segoe UI" w:hAnsi="Segoe UI" w:cs="Segoe UI"/>
      <w:sz w:val="18"/>
      <w:szCs w:val="18"/>
    </w:rPr>
  </w:style>
  <w:style w:type="paragraph" w:styleId="TOC1">
    <w:name w:val="toc 1"/>
    <w:basedOn w:val="Normal"/>
    <w:next w:val="Normal"/>
    <w:autoRedefine/>
    <w:uiPriority w:val="39"/>
    <w:unhideWhenUsed/>
    <w:rsid w:val="00DB55A1"/>
    <w:pPr>
      <w:spacing w:after="100"/>
    </w:pPr>
  </w:style>
  <w:style w:type="character" w:styleId="Hyperlink">
    <w:name w:val="Hyperlink"/>
    <w:basedOn w:val="DefaultParagraphFont"/>
    <w:uiPriority w:val="99"/>
    <w:unhideWhenUsed/>
    <w:rsid w:val="00DB55A1"/>
    <w:rPr>
      <w:color w:val="0563C1" w:themeColor="hyperlink"/>
      <w:u w:val="single"/>
    </w:rPr>
  </w:style>
  <w:style w:type="table" w:styleId="GridTable2-Accent5">
    <w:name w:val="Grid Table 2 Accent 5"/>
    <w:basedOn w:val="TableNormal"/>
    <w:uiPriority w:val="47"/>
    <w:rsid w:val="00DF386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5309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3774F-3225-4907-AF33-807F427A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Degoricija, Lovorka (ARC-SCR)[WYLE LABS]</dc:creator>
  <cp:keywords/>
  <dc:description/>
  <cp:lastModifiedBy>Dinh, Marie T. (ARC-SCR)[WYLE LABS]</cp:lastModifiedBy>
  <cp:revision>4</cp:revision>
  <cp:lastPrinted>2020-10-02T22:47:00Z</cp:lastPrinted>
  <dcterms:created xsi:type="dcterms:W3CDTF">2021-01-13T02:29:00Z</dcterms:created>
  <dcterms:modified xsi:type="dcterms:W3CDTF">2021-01-13T02:41:00Z</dcterms:modified>
</cp:coreProperties>
</file>