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/>
    <w:p w14:paraId="2C953F9C" w14:textId="3ACECA55" w:rsidR="004A4AC8" w:rsidRDefault="00B7178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00B4ADAD" w:rsidR="004A4AC8" w:rsidRPr="00646295" w:rsidRDefault="00EA70DD" w:rsidP="00774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A4AC8"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S</w:t>
                            </w:r>
                            <w:r w:rsidR="00774103"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etting up </w:t>
                            </w:r>
                            <w:proofErr w:type="spellStart"/>
                            <w:r w:rsidR="00774103"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NovaSeq</w:t>
                            </w:r>
                            <w:proofErr w:type="spellEnd"/>
                            <w:r w:rsidR="00774103"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6000 and </w:t>
                            </w:r>
                            <w:proofErr w:type="spellStart"/>
                            <w:r w:rsidR="00774103"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iSeq</w:t>
                            </w:r>
                            <w:proofErr w:type="spellEnd"/>
                            <w:r w:rsidR="00774103"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100 sequencers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00B4ADAD" w:rsidR="004A4AC8" w:rsidRPr="00646295" w:rsidRDefault="00EA70DD" w:rsidP="00774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646295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646295">
                        <w:rPr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  <w:r w:rsidR="004A4AC8" w:rsidRPr="00646295">
                        <w:rPr>
                          <w:i/>
                          <w:iCs/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S</w:t>
                      </w:r>
                      <w:r w:rsidR="00774103"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etting up </w:t>
                      </w:r>
                      <w:proofErr w:type="spellStart"/>
                      <w:r w:rsidR="00774103"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NovaSeq</w:t>
                      </w:r>
                      <w:proofErr w:type="spellEnd"/>
                      <w:r w:rsidR="00774103"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 6000 and </w:t>
                      </w:r>
                      <w:proofErr w:type="spellStart"/>
                      <w:r w:rsidR="00774103"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iSeq</w:t>
                      </w:r>
                      <w:proofErr w:type="spellEnd"/>
                      <w:r w:rsidR="00774103"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 100 sequencers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192992B6" w:rsidR="004A4AC8" w:rsidRPr="00C83D86" w:rsidRDefault="00C83D86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>May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 w:rsidRPr="00C83D86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3BD2997A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0" w:name="_Toc51854616"/>
      <w:r w:rsidRPr="00DF3863">
        <w:rPr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35FFB51D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141EAE">
              <w:rPr>
                <w:rFonts w:cstheme="minorHAnsi"/>
                <w:b w:val="0"/>
                <w:bCs w:val="0"/>
                <w:color w:val="595959" w:themeColor="text1" w:themeTint="A6"/>
              </w:rPr>
              <w:t>3.1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10ABDC8C" w14:textId="75630DA0" w:rsidR="00C90588" w:rsidRPr="006F5946" w:rsidRDefault="0039176D" w:rsidP="006F5946">
      <w:pPr>
        <w:pStyle w:val="Heading1"/>
        <w:rPr>
          <w:color w:val="003399"/>
          <w:sz w:val="44"/>
          <w:szCs w:val="44"/>
        </w:rPr>
      </w:pPr>
      <w:bookmarkStart w:id="1" w:name="_Toc51854618"/>
      <w:r w:rsidRPr="00DF3863">
        <w:rPr>
          <w:color w:val="003399"/>
          <w:sz w:val="44"/>
          <w:szCs w:val="44"/>
        </w:rPr>
        <w:t>Scope and Purpose</w:t>
      </w:r>
      <w:bookmarkEnd w:id="1"/>
    </w:p>
    <w:p w14:paraId="155E1C8E" w14:textId="1A28B399" w:rsidR="00C90588" w:rsidRPr="00C90588" w:rsidRDefault="00C90588" w:rsidP="00C90588">
      <w:r>
        <w:t xml:space="preserve">This procedure describes the workflows and parameters to follow in order to set up </w:t>
      </w:r>
      <w:proofErr w:type="spellStart"/>
      <w:r>
        <w:t>NovaSeq</w:t>
      </w:r>
      <w:proofErr w:type="spellEnd"/>
      <w:r>
        <w:t xml:space="preserve"> 6000 and/or </w:t>
      </w:r>
      <w:proofErr w:type="spellStart"/>
      <w:r>
        <w:t>iSeq</w:t>
      </w:r>
      <w:proofErr w:type="spellEnd"/>
      <w:r>
        <w:t xml:space="preserve"> 100 sequencers. </w:t>
      </w:r>
    </w:p>
    <w:p w14:paraId="7EF4EF90" w14:textId="77777777" w:rsidR="00C90588" w:rsidRPr="00D676E6" w:rsidRDefault="00C90588" w:rsidP="00C90588">
      <w:pPr>
        <w:pStyle w:val="ListParagraph"/>
        <w:numPr>
          <w:ilvl w:val="0"/>
          <w:numId w:val="39"/>
        </w:numPr>
        <w:spacing w:after="0" w:line="360" w:lineRule="auto"/>
      </w:pPr>
      <w:bookmarkStart w:id="2" w:name="_Toc51854619"/>
      <w:r w:rsidRPr="00D676E6">
        <w:t xml:space="preserve">If setting up </w:t>
      </w:r>
      <w:proofErr w:type="spellStart"/>
      <w:r w:rsidRPr="00D676E6">
        <w:t>iSeq</w:t>
      </w:r>
      <w:proofErr w:type="spellEnd"/>
      <w:r w:rsidRPr="00D676E6">
        <w:t xml:space="preserve"> 100 sequencer refer to procedure A.</w:t>
      </w:r>
    </w:p>
    <w:p w14:paraId="6E1FF10A" w14:textId="491B1E9A" w:rsidR="00C90588" w:rsidRPr="00D676E6" w:rsidRDefault="00C90588" w:rsidP="00C90588">
      <w:pPr>
        <w:pStyle w:val="ListParagraph"/>
        <w:numPr>
          <w:ilvl w:val="0"/>
          <w:numId w:val="39"/>
        </w:numPr>
        <w:spacing w:after="0" w:line="360" w:lineRule="auto"/>
      </w:pPr>
      <w:r w:rsidRPr="00D676E6">
        <w:t xml:space="preserve">If setting up </w:t>
      </w:r>
      <w:proofErr w:type="spellStart"/>
      <w:r w:rsidRPr="00D676E6">
        <w:t>NovaSeq</w:t>
      </w:r>
      <w:proofErr w:type="spellEnd"/>
      <w:r w:rsidRPr="00D676E6">
        <w:t xml:space="preserve"> 6000 sequencer refer to procedure B.</w:t>
      </w:r>
    </w:p>
    <w:p w14:paraId="3961B2EC" w14:textId="2A5D87B2" w:rsidR="00141EAE" w:rsidRPr="00C90588" w:rsidRDefault="00C90588" w:rsidP="00C90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76E6">
        <w:t xml:space="preserve">This SOP only describes the set-up of the sequencer, for all the other procedural details; make sure to read the most updated System Guides and the proper SOP’s. </w:t>
      </w:r>
    </w:p>
    <w:p w14:paraId="00A297E7" w14:textId="3E9BC6B8" w:rsidR="00C90588" w:rsidRDefault="00C90588" w:rsidP="00C90588">
      <w:pPr>
        <w:pStyle w:val="Heading1"/>
        <w:rPr>
          <w:color w:val="003399"/>
          <w:sz w:val="44"/>
          <w:szCs w:val="44"/>
        </w:rPr>
      </w:pPr>
      <w:bookmarkStart w:id="3" w:name="_Toc51854621"/>
      <w:bookmarkEnd w:id="2"/>
      <w:r>
        <w:rPr>
          <w:color w:val="003399"/>
          <w:sz w:val="44"/>
          <w:szCs w:val="44"/>
        </w:rPr>
        <w:lastRenderedPageBreak/>
        <w:t>Procedure A: Reagents</w:t>
      </w:r>
    </w:p>
    <w:p w14:paraId="78AA30BD" w14:textId="77777777" w:rsidR="00C90588" w:rsidRPr="00D676E6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proofErr w:type="spellStart"/>
      <w:r w:rsidRPr="00D676E6">
        <w:t>iSeq</w:t>
      </w:r>
      <w:proofErr w:type="spellEnd"/>
      <w:r w:rsidRPr="00D676E6">
        <w:t xml:space="preserve"> 100 i1 Cartridge (Stored at -20</w:t>
      </w:r>
      <w:r w:rsidRPr="00D676E6">
        <w:sym w:font="Symbol" w:char="F0B0"/>
      </w:r>
      <w:r w:rsidRPr="00D676E6">
        <w:t xml:space="preserve">C) </w:t>
      </w:r>
    </w:p>
    <w:p w14:paraId="341CA8DD" w14:textId="77777777" w:rsidR="00C90588" w:rsidRPr="00D676E6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proofErr w:type="spellStart"/>
      <w:r w:rsidRPr="00D676E6">
        <w:t>iSeq</w:t>
      </w:r>
      <w:proofErr w:type="spellEnd"/>
      <w:r w:rsidRPr="00D676E6">
        <w:t xml:space="preserve"> 100 i1 Flow Cell (Stored at 4</w:t>
      </w:r>
      <w:r w:rsidRPr="00D676E6">
        <w:sym w:font="Symbol" w:char="F0B0"/>
      </w:r>
      <w:r w:rsidRPr="00D676E6">
        <w:t xml:space="preserve">C) </w:t>
      </w:r>
    </w:p>
    <w:p w14:paraId="7DB22F6C" w14:textId="57724DF1" w:rsidR="00C90588" w:rsidRPr="00C90588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r w:rsidRPr="00D676E6">
        <w:t>Consumables required for library dilution and spike in</w:t>
      </w:r>
    </w:p>
    <w:p w14:paraId="4681BB08" w14:textId="49FF8938" w:rsidR="00EA70DD" w:rsidRDefault="00EA70DD" w:rsidP="00CF7158">
      <w:pPr>
        <w:pStyle w:val="Heading1"/>
        <w:rPr>
          <w:color w:val="003399"/>
          <w:sz w:val="44"/>
          <w:szCs w:val="44"/>
        </w:rPr>
      </w:pPr>
      <w:r w:rsidRPr="00DF3863">
        <w:rPr>
          <w:color w:val="003399"/>
          <w:sz w:val="44"/>
          <w:szCs w:val="44"/>
        </w:rPr>
        <w:t>Procedure</w:t>
      </w:r>
      <w:bookmarkEnd w:id="3"/>
      <w:r w:rsidR="00C90588">
        <w:rPr>
          <w:color w:val="003399"/>
          <w:sz w:val="44"/>
          <w:szCs w:val="44"/>
        </w:rPr>
        <w:t xml:space="preserve"> A: Setting up </w:t>
      </w:r>
      <w:proofErr w:type="spellStart"/>
      <w:r w:rsidR="00C90588">
        <w:rPr>
          <w:color w:val="003399"/>
          <w:sz w:val="44"/>
          <w:szCs w:val="44"/>
        </w:rPr>
        <w:t>iSeq</w:t>
      </w:r>
      <w:proofErr w:type="spellEnd"/>
      <w:r w:rsidR="00C90588">
        <w:rPr>
          <w:color w:val="003399"/>
          <w:sz w:val="44"/>
          <w:szCs w:val="44"/>
        </w:rPr>
        <w:t xml:space="preserve"> 100 sequencer</w:t>
      </w:r>
    </w:p>
    <w:p w14:paraId="7747803B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Thaw the </w:t>
      </w:r>
      <w:proofErr w:type="spellStart"/>
      <w:r w:rsidRPr="00D676E6">
        <w:t>iSeq</w:t>
      </w:r>
      <w:proofErr w:type="spellEnd"/>
      <w:r w:rsidRPr="00D676E6">
        <w:t xml:space="preserve"> cartridge and the flow cell according to the System Guide </w:t>
      </w:r>
    </w:p>
    <w:p w14:paraId="0D0F3EEA" w14:textId="77777777" w:rsidR="00C90588" w:rsidRPr="00D676E6" w:rsidRDefault="00C90588" w:rsidP="00C90588">
      <w:pPr>
        <w:pStyle w:val="ListParagraph"/>
        <w:spacing w:line="360" w:lineRule="auto"/>
      </w:pPr>
      <w:r w:rsidRPr="00D676E6">
        <w:rPr>
          <w:noProof/>
          <w:lang w:bidi="he-IL"/>
        </w:rPr>
        <w:drawing>
          <wp:inline distT="0" distB="0" distL="0" distR="0" wp14:anchorId="344B1056" wp14:editId="3EBE7ED8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C2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44A4" w14:textId="77777777" w:rsidR="00C90588" w:rsidRPr="00D676E6" w:rsidRDefault="00C90588" w:rsidP="00C90588">
      <w:pPr>
        <w:pStyle w:val="ListParagraph"/>
        <w:spacing w:line="360" w:lineRule="auto"/>
      </w:pPr>
      <w:r w:rsidRPr="00D676E6">
        <w:t xml:space="preserve">Flow cell should be at room temperature at the time of sequencer loading. </w:t>
      </w:r>
    </w:p>
    <w:p w14:paraId="556F12CE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(Index2). </w:t>
      </w:r>
    </w:p>
    <w:p w14:paraId="213150C4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dilute the spiked pool to loading concentration.</w:t>
      </w:r>
    </w:p>
    <w:p w14:paraId="7BF42034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>Load the library pool onto the cartridge following the System Guide.</w:t>
      </w:r>
    </w:p>
    <w:p w14:paraId="5F846326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>Set up the sequencing run.</w:t>
      </w:r>
    </w:p>
    <w:p w14:paraId="74DC972C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</w:p>
    <w:p w14:paraId="4DA0622D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 xml:space="preserve">Local Run Manager mode: </w:t>
      </w:r>
    </w:p>
    <w:p w14:paraId="1CE34778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Software.</w:t>
      </w:r>
    </w:p>
    <w:p w14:paraId="56398861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Select Local Run Manager </w:t>
      </w:r>
      <w:r w:rsidRPr="00D676E6">
        <w:sym w:font="Wingdings" w:char="F0E0"/>
      </w:r>
      <w:r w:rsidRPr="00D676E6">
        <w:t xml:space="preserve"> Open Local Run Manager.</w:t>
      </w:r>
    </w:p>
    <w:p w14:paraId="7831DD82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Create a sequencing run by </w:t>
      </w:r>
      <w:proofErr w:type="gramStart"/>
      <w:r w:rsidRPr="00D676E6">
        <w:t>Importing</w:t>
      </w:r>
      <w:proofErr w:type="gramEnd"/>
      <w:r w:rsidRPr="00D676E6">
        <w:t xml:space="preserve"> a sample sheet.</w:t>
      </w:r>
    </w:p>
    <w:p w14:paraId="2C0BB020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Save run. </w:t>
      </w:r>
    </w:p>
    <w:p w14:paraId="577084AE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In the control software, select “Sequence”. The Software will open the sequencer door and eject the tray.</w:t>
      </w:r>
    </w:p>
    <w:p w14:paraId="129EE4E0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Place the sequencing cartridge with the flow cell and diluted, spiked library onto the tray.</w:t>
      </w:r>
    </w:p>
    <w:p w14:paraId="74BF1ACC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Select Close Door, the tray will retract and the door will close.</w:t>
      </w:r>
    </w:p>
    <w:p w14:paraId="6273F181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If does not appear automatically, select the previously created run from the “Run Name” list. Try Refreshing if the run is missing. </w:t>
      </w:r>
    </w:p>
    <w:p w14:paraId="1504C333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Make sure the read length parameters for Read 1, Index 1, Index 2, Read 2 fit with the planned experimental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71F3BE2A" w14:textId="77777777" w:rsidTr="00DA5BB1">
        <w:trPr>
          <w:trHeight w:val="900"/>
        </w:trPr>
        <w:tc>
          <w:tcPr>
            <w:tcW w:w="960" w:type="dxa"/>
            <w:hideMark/>
          </w:tcPr>
          <w:p w14:paraId="72C12D21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960" w:type="dxa"/>
            <w:hideMark/>
          </w:tcPr>
          <w:p w14:paraId="77ED2E44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140" w:type="dxa"/>
            <w:hideMark/>
          </w:tcPr>
          <w:p w14:paraId="6114DA77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</w:t>
            </w:r>
            <w:proofErr w:type="spellStart"/>
            <w:r w:rsidRPr="00D676E6">
              <w:rPr>
                <w:b/>
                <w:bCs/>
              </w:rPr>
              <w:t>lenght</w:t>
            </w:r>
            <w:proofErr w:type="spellEnd"/>
            <w:r w:rsidRPr="00D676E6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hideMark/>
          </w:tcPr>
          <w:p w14:paraId="780DF97E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4B29570D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0BFD665E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134CD30E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05498EB1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C90588" w:rsidRPr="00D676E6" w14:paraId="186D6FDC" w14:textId="77777777" w:rsidTr="00DA5BB1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ED3555C" w14:textId="77777777" w:rsidR="00C90588" w:rsidRPr="00D676E6" w:rsidRDefault="00C90588" w:rsidP="00DA5BB1">
            <w:pPr>
              <w:spacing w:line="360" w:lineRule="auto"/>
            </w:pPr>
            <w:r w:rsidRPr="00D676E6">
              <w:t>i1</w:t>
            </w:r>
          </w:p>
        </w:tc>
        <w:tc>
          <w:tcPr>
            <w:tcW w:w="960" w:type="dxa"/>
            <w:noWrap/>
            <w:hideMark/>
          </w:tcPr>
          <w:p w14:paraId="7C7E66E3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83E02B6" w14:textId="77777777" w:rsidR="00C90588" w:rsidRPr="00D676E6" w:rsidRDefault="00C90588" w:rsidP="00DA5BB1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1DFAB77E" w14:textId="77777777" w:rsidR="00C90588" w:rsidRPr="00D676E6" w:rsidRDefault="00C90588" w:rsidP="00DA5BB1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365E192B" w14:textId="77777777" w:rsidR="00C90588" w:rsidRPr="00D676E6" w:rsidRDefault="00C90588" w:rsidP="00DA5BB1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52F84988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1A29C81E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FEED4FB" w14:textId="77777777" w:rsidR="00C90588" w:rsidRPr="00D676E6" w:rsidRDefault="00C90588" w:rsidP="00DA5BB1">
            <w:pPr>
              <w:spacing w:line="360" w:lineRule="auto"/>
            </w:pPr>
            <w:r w:rsidRPr="00D676E6">
              <w:t>151</w:t>
            </w:r>
          </w:p>
        </w:tc>
      </w:tr>
      <w:tr w:rsidR="00C90588" w:rsidRPr="00D676E6" w14:paraId="2172F3EC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39691A1F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01BF0E1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AF4A482" w14:textId="77777777" w:rsidR="00C90588" w:rsidRPr="00D676E6" w:rsidRDefault="00C90588" w:rsidP="00DA5BB1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3657CE9E" w14:textId="77777777" w:rsidR="00C90588" w:rsidRPr="00D676E6" w:rsidRDefault="00C90588" w:rsidP="00DA5BB1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619E507F" w14:textId="77777777" w:rsidR="00C90588" w:rsidRPr="00D676E6" w:rsidRDefault="00C90588" w:rsidP="00DA5BB1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118314D2" w14:textId="77777777" w:rsidR="00C90588" w:rsidRPr="00D676E6" w:rsidRDefault="00C90588" w:rsidP="00DA5BB1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6CC2795A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7BB67351" w14:textId="77777777" w:rsidR="00C90588" w:rsidRPr="00D676E6" w:rsidRDefault="00C90588" w:rsidP="00DA5BB1">
            <w:pPr>
              <w:spacing w:line="360" w:lineRule="auto"/>
            </w:pPr>
            <w:r w:rsidRPr="00D676E6">
              <w:t>148</w:t>
            </w:r>
          </w:p>
        </w:tc>
      </w:tr>
      <w:tr w:rsidR="00C90588" w:rsidRPr="00D676E6" w14:paraId="1C096E0A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52046433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0D84CC9A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3AA9DBC7" w14:textId="77777777" w:rsidR="00C90588" w:rsidRPr="00D676E6" w:rsidRDefault="00C90588" w:rsidP="00DA5BB1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2161451A" w14:textId="77777777" w:rsidR="00C90588" w:rsidRPr="00D676E6" w:rsidRDefault="00C90588" w:rsidP="00DA5BB1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2BA4A7D3" w14:textId="77777777" w:rsidR="00C90588" w:rsidRPr="00D676E6" w:rsidRDefault="00C90588" w:rsidP="00DA5BB1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66C71806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7EF19E3B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16502789" w14:textId="77777777" w:rsidR="00C90588" w:rsidRPr="00D676E6" w:rsidRDefault="00C90588" w:rsidP="00DA5BB1">
            <w:pPr>
              <w:spacing w:line="360" w:lineRule="auto"/>
            </w:pPr>
            <w:r w:rsidRPr="00D676E6">
              <w:t>101</w:t>
            </w:r>
          </w:p>
        </w:tc>
      </w:tr>
      <w:tr w:rsidR="00C90588" w:rsidRPr="00D676E6" w14:paraId="1FAABAE2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30CF431C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A4E5BF8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4B2B07EB" w14:textId="77777777" w:rsidR="00C90588" w:rsidRPr="00D676E6" w:rsidRDefault="00C90588" w:rsidP="00DA5BB1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4CDB9F82" w14:textId="77777777" w:rsidR="00C90588" w:rsidRPr="00D676E6" w:rsidRDefault="00C90588" w:rsidP="00DA5BB1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20830F9A" w14:textId="77777777" w:rsidR="00C90588" w:rsidRPr="00D676E6" w:rsidRDefault="00C90588" w:rsidP="00DA5BB1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5EFA4476" w14:textId="77777777" w:rsidR="00C90588" w:rsidRPr="00D676E6" w:rsidRDefault="00C90588" w:rsidP="00DA5BB1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42214194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10DD9506" w14:textId="77777777" w:rsidR="00C90588" w:rsidRPr="00D676E6" w:rsidRDefault="00C90588" w:rsidP="00DA5BB1">
            <w:pPr>
              <w:spacing w:line="360" w:lineRule="auto"/>
            </w:pPr>
            <w:r w:rsidRPr="00D676E6">
              <w:t>99</w:t>
            </w:r>
          </w:p>
        </w:tc>
      </w:tr>
      <w:tr w:rsidR="00C90588" w:rsidRPr="00D676E6" w14:paraId="5A1A9E22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73D03050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4DA6074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8B3117E" w14:textId="77777777" w:rsidR="00C90588" w:rsidRPr="00D676E6" w:rsidRDefault="00C90588" w:rsidP="00DA5BB1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28B2CFF6" w14:textId="77777777" w:rsidR="00C90588" w:rsidRPr="00D676E6" w:rsidRDefault="00C90588" w:rsidP="00DA5BB1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6EE0EB41" w14:textId="77777777" w:rsidR="00C90588" w:rsidRPr="00D676E6" w:rsidRDefault="00C90588" w:rsidP="00DA5BB1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45AE031D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3FBA5BF5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B669979" w14:textId="77777777" w:rsidR="00C90588" w:rsidRPr="00D676E6" w:rsidRDefault="00C90588" w:rsidP="00DA5BB1">
            <w:pPr>
              <w:spacing w:line="360" w:lineRule="auto"/>
            </w:pPr>
            <w:r w:rsidRPr="00D676E6">
              <w:t>51</w:t>
            </w:r>
          </w:p>
        </w:tc>
      </w:tr>
      <w:tr w:rsidR="00C90588" w:rsidRPr="00D676E6" w14:paraId="4546E972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4A315CD6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62C35974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7B4B9D90" w14:textId="77777777" w:rsidR="00C90588" w:rsidRPr="00D676E6" w:rsidRDefault="00C90588" w:rsidP="00DA5BB1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1EE8A922" w14:textId="77777777" w:rsidR="00C90588" w:rsidRPr="00D676E6" w:rsidRDefault="00C90588" w:rsidP="00DA5BB1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5EAD2EBA" w14:textId="77777777" w:rsidR="00C90588" w:rsidRPr="00D676E6" w:rsidRDefault="00C90588" w:rsidP="00DA5BB1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34E68A4F" w14:textId="77777777" w:rsidR="00C90588" w:rsidRPr="00D676E6" w:rsidRDefault="00C90588" w:rsidP="00DA5BB1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0B54D264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0180A10" w14:textId="77777777" w:rsidR="00C90588" w:rsidRPr="00D676E6" w:rsidRDefault="00C90588" w:rsidP="00DA5BB1">
            <w:pPr>
              <w:spacing w:line="360" w:lineRule="auto"/>
            </w:pPr>
            <w:r w:rsidRPr="00D676E6">
              <w:t>49</w:t>
            </w:r>
          </w:p>
        </w:tc>
      </w:tr>
    </w:tbl>
    <w:p w14:paraId="4C7687E4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7A48089F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Select Start Run. </w:t>
      </w:r>
    </w:p>
    <w:p w14:paraId="387FB0F3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When run is finished, dispose of the used reagents according to the safety regulations.</w:t>
      </w:r>
    </w:p>
    <w:p w14:paraId="15B4376B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 xml:space="preserve">Manual mode (without </w:t>
      </w:r>
      <w:proofErr w:type="spellStart"/>
      <w:r w:rsidRPr="00D676E6">
        <w:rPr>
          <w:u w:val="single"/>
        </w:rPr>
        <w:t>SampleSheet</w:t>
      </w:r>
      <w:proofErr w:type="spellEnd"/>
      <w:r w:rsidRPr="00D676E6">
        <w:rPr>
          <w:u w:val="single"/>
        </w:rPr>
        <w:t xml:space="preserve"> and Local Run Manager): </w:t>
      </w:r>
    </w:p>
    <w:p w14:paraId="3DBEAEE1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Software.</w:t>
      </w:r>
    </w:p>
    <w:p w14:paraId="5747D19E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In the control software, select “Sequence”. The Software will open the sequencer door and eject the tray. </w:t>
      </w:r>
    </w:p>
    <w:p w14:paraId="7941791B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Place the sequencing cartridge with the flow cell and diluted, spiked library onto the tray.</w:t>
      </w:r>
    </w:p>
    <w:p w14:paraId="5FCFF16D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Select Close Door, the tray will retract and the door will close.</w:t>
      </w:r>
    </w:p>
    <w:p w14:paraId="476DBCBC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In the “Run Name” field, enter a unique </w:t>
      </w:r>
      <w:proofErr w:type="gramStart"/>
      <w:r w:rsidRPr="00D676E6">
        <w:t>name,</w:t>
      </w:r>
      <w:proofErr w:type="gramEnd"/>
      <w:r w:rsidRPr="00D676E6">
        <w:t xml:space="preserve"> make sure to include the date, the project and any other information that might be useful in identifying this run.</w:t>
      </w:r>
    </w:p>
    <w:p w14:paraId="57EE65D7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Select “Single Read/Dual Read” option. </w:t>
      </w:r>
    </w:p>
    <w:p w14:paraId="6FC5D85F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Enter the number of cycles to perform in each read following the planned experimental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34"/>
        <w:gridCol w:w="1279"/>
        <w:gridCol w:w="1920"/>
        <w:gridCol w:w="940"/>
        <w:gridCol w:w="960"/>
        <w:gridCol w:w="960"/>
        <w:gridCol w:w="1020"/>
      </w:tblGrid>
      <w:tr w:rsidR="00C90588" w:rsidRPr="00D676E6" w14:paraId="45AF2A9F" w14:textId="77777777" w:rsidTr="00DA5BB1">
        <w:trPr>
          <w:trHeight w:val="900"/>
        </w:trPr>
        <w:tc>
          <w:tcPr>
            <w:tcW w:w="960" w:type="dxa"/>
            <w:hideMark/>
          </w:tcPr>
          <w:p w14:paraId="140AAA9A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1034" w:type="dxa"/>
            <w:hideMark/>
          </w:tcPr>
          <w:p w14:paraId="783F939C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279" w:type="dxa"/>
            <w:hideMark/>
          </w:tcPr>
          <w:p w14:paraId="3A0EB452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length </w:t>
            </w:r>
          </w:p>
        </w:tc>
        <w:tc>
          <w:tcPr>
            <w:tcW w:w="1920" w:type="dxa"/>
            <w:hideMark/>
          </w:tcPr>
          <w:p w14:paraId="61286FF3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675BA606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41FD31D6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296DA9AC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6F12F789" w14:textId="77777777" w:rsidR="00C90588" w:rsidRPr="00D676E6" w:rsidRDefault="00C90588" w:rsidP="00DA5BB1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C90588" w:rsidRPr="00D676E6" w14:paraId="71C47586" w14:textId="77777777" w:rsidTr="00DA5BB1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C02E64F" w14:textId="77777777" w:rsidR="00C90588" w:rsidRPr="00D676E6" w:rsidRDefault="00C90588" w:rsidP="00DA5BB1">
            <w:pPr>
              <w:spacing w:line="360" w:lineRule="auto"/>
            </w:pPr>
            <w:r w:rsidRPr="00D676E6">
              <w:t>i1</w:t>
            </w:r>
          </w:p>
        </w:tc>
        <w:tc>
          <w:tcPr>
            <w:tcW w:w="1034" w:type="dxa"/>
            <w:noWrap/>
            <w:hideMark/>
          </w:tcPr>
          <w:p w14:paraId="464A48A7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2AD2147F" w14:textId="77777777" w:rsidR="00C90588" w:rsidRPr="00D676E6" w:rsidRDefault="00C90588" w:rsidP="00DA5BB1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58692035" w14:textId="77777777" w:rsidR="00C90588" w:rsidRPr="00D676E6" w:rsidRDefault="00C90588" w:rsidP="00DA5BB1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54056373" w14:textId="77777777" w:rsidR="00C90588" w:rsidRPr="00D676E6" w:rsidRDefault="00C90588" w:rsidP="00DA5BB1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6DC51694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3D0029DF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A531E76" w14:textId="77777777" w:rsidR="00C90588" w:rsidRPr="00D676E6" w:rsidRDefault="00C90588" w:rsidP="00DA5BB1">
            <w:pPr>
              <w:spacing w:line="360" w:lineRule="auto"/>
            </w:pPr>
            <w:r w:rsidRPr="00D676E6">
              <w:t>151</w:t>
            </w:r>
          </w:p>
        </w:tc>
      </w:tr>
      <w:tr w:rsidR="00C90588" w:rsidRPr="00D676E6" w14:paraId="07695ED1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18DD7BA9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03DDBE1E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CD32F75" w14:textId="77777777" w:rsidR="00C90588" w:rsidRPr="00D676E6" w:rsidRDefault="00C90588" w:rsidP="00DA5BB1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7CD07BEF" w14:textId="77777777" w:rsidR="00C90588" w:rsidRPr="00D676E6" w:rsidRDefault="00C90588" w:rsidP="00DA5BB1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652F7755" w14:textId="77777777" w:rsidR="00C90588" w:rsidRPr="00D676E6" w:rsidRDefault="00C90588" w:rsidP="00DA5BB1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6901ED4A" w14:textId="77777777" w:rsidR="00C90588" w:rsidRPr="00D676E6" w:rsidRDefault="00C90588" w:rsidP="00DA5BB1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09F921ED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3597461C" w14:textId="77777777" w:rsidR="00C90588" w:rsidRPr="00D676E6" w:rsidRDefault="00C90588" w:rsidP="00DA5BB1">
            <w:pPr>
              <w:spacing w:line="360" w:lineRule="auto"/>
            </w:pPr>
            <w:r w:rsidRPr="00D676E6">
              <w:t>148</w:t>
            </w:r>
          </w:p>
        </w:tc>
      </w:tr>
      <w:tr w:rsidR="00C90588" w:rsidRPr="00D676E6" w14:paraId="75F03FDF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706725B4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401E69EB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9D23C34" w14:textId="77777777" w:rsidR="00C90588" w:rsidRPr="00D676E6" w:rsidRDefault="00C90588" w:rsidP="00DA5BB1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415C7CF1" w14:textId="77777777" w:rsidR="00C90588" w:rsidRPr="00D676E6" w:rsidRDefault="00C90588" w:rsidP="00DA5BB1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14321287" w14:textId="77777777" w:rsidR="00C90588" w:rsidRPr="00D676E6" w:rsidRDefault="00C90588" w:rsidP="00DA5BB1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5FFD8AE0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1CC5984E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370B583" w14:textId="77777777" w:rsidR="00C90588" w:rsidRPr="00D676E6" w:rsidRDefault="00C90588" w:rsidP="00DA5BB1">
            <w:pPr>
              <w:spacing w:line="360" w:lineRule="auto"/>
            </w:pPr>
            <w:r w:rsidRPr="00D676E6">
              <w:t>101</w:t>
            </w:r>
          </w:p>
        </w:tc>
      </w:tr>
      <w:tr w:rsidR="00C90588" w:rsidRPr="00D676E6" w14:paraId="314C4E4C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1CCF53B0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58CA3C36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174C313" w14:textId="77777777" w:rsidR="00C90588" w:rsidRPr="00D676E6" w:rsidRDefault="00C90588" w:rsidP="00DA5BB1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576C997A" w14:textId="77777777" w:rsidR="00C90588" w:rsidRPr="00D676E6" w:rsidRDefault="00C90588" w:rsidP="00DA5BB1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7C48B489" w14:textId="77777777" w:rsidR="00C90588" w:rsidRPr="00D676E6" w:rsidRDefault="00C90588" w:rsidP="00DA5BB1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0C42D619" w14:textId="77777777" w:rsidR="00C90588" w:rsidRPr="00D676E6" w:rsidRDefault="00C90588" w:rsidP="00DA5BB1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7B1C26F7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020FC02E" w14:textId="77777777" w:rsidR="00C90588" w:rsidRPr="00D676E6" w:rsidRDefault="00C90588" w:rsidP="00DA5BB1">
            <w:pPr>
              <w:spacing w:line="360" w:lineRule="auto"/>
            </w:pPr>
            <w:r w:rsidRPr="00D676E6">
              <w:t>99</w:t>
            </w:r>
          </w:p>
        </w:tc>
      </w:tr>
      <w:tr w:rsidR="00C90588" w:rsidRPr="00D676E6" w14:paraId="3948D4C1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57648C2E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4762B7FF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31399212" w14:textId="77777777" w:rsidR="00C90588" w:rsidRPr="00D676E6" w:rsidRDefault="00C90588" w:rsidP="00DA5BB1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08A58D9D" w14:textId="77777777" w:rsidR="00C90588" w:rsidRPr="00D676E6" w:rsidRDefault="00C90588" w:rsidP="00DA5BB1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5236880A" w14:textId="77777777" w:rsidR="00C90588" w:rsidRPr="00D676E6" w:rsidRDefault="00C90588" w:rsidP="00DA5BB1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110DD6D4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5AF74BC5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C22ACB7" w14:textId="77777777" w:rsidR="00C90588" w:rsidRPr="00D676E6" w:rsidRDefault="00C90588" w:rsidP="00DA5BB1">
            <w:pPr>
              <w:spacing w:line="360" w:lineRule="auto"/>
            </w:pPr>
            <w:r w:rsidRPr="00D676E6">
              <w:t>51</w:t>
            </w:r>
          </w:p>
        </w:tc>
      </w:tr>
      <w:tr w:rsidR="00C90588" w:rsidRPr="00D676E6" w14:paraId="2EE61AE8" w14:textId="77777777" w:rsidTr="00DA5BB1">
        <w:trPr>
          <w:trHeight w:val="300"/>
        </w:trPr>
        <w:tc>
          <w:tcPr>
            <w:tcW w:w="960" w:type="dxa"/>
            <w:vMerge/>
            <w:hideMark/>
          </w:tcPr>
          <w:p w14:paraId="3A16B5A6" w14:textId="77777777" w:rsidR="00C90588" w:rsidRPr="00D676E6" w:rsidRDefault="00C90588" w:rsidP="00DA5BB1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14436A5D" w14:textId="77777777" w:rsidR="00C90588" w:rsidRPr="00D676E6" w:rsidRDefault="00C90588" w:rsidP="00DA5BB1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79542914" w14:textId="77777777" w:rsidR="00C90588" w:rsidRPr="00D676E6" w:rsidRDefault="00C90588" w:rsidP="00DA5BB1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2CB8E66B" w14:textId="77777777" w:rsidR="00C90588" w:rsidRPr="00D676E6" w:rsidRDefault="00C90588" w:rsidP="00DA5BB1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4C6C5DFA" w14:textId="77777777" w:rsidR="00C90588" w:rsidRPr="00D676E6" w:rsidRDefault="00C90588" w:rsidP="00DA5BB1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745E281E" w14:textId="77777777" w:rsidR="00C90588" w:rsidRPr="00D676E6" w:rsidRDefault="00C90588" w:rsidP="00DA5BB1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5B36011B" w14:textId="77777777" w:rsidR="00C90588" w:rsidRPr="00D676E6" w:rsidRDefault="00C90588" w:rsidP="00DA5BB1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1D54C8A" w14:textId="77777777" w:rsidR="00C90588" w:rsidRPr="00D676E6" w:rsidRDefault="00C90588" w:rsidP="00DA5BB1">
            <w:pPr>
              <w:spacing w:line="360" w:lineRule="auto"/>
            </w:pPr>
            <w:r w:rsidRPr="00D676E6">
              <w:t>49</w:t>
            </w:r>
          </w:p>
        </w:tc>
      </w:tr>
    </w:tbl>
    <w:p w14:paraId="4CA308C7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2594939C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Select Start Run. </w:t>
      </w:r>
    </w:p>
    <w:p w14:paraId="52E9CF19" w14:textId="4BF46436" w:rsidR="00C90588" w:rsidRPr="00C90588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When run is finished, dispose of the used reagents according to the safety regulations.</w:t>
      </w:r>
    </w:p>
    <w:p w14:paraId="5C3F6612" w14:textId="2249F6CE" w:rsidR="00C90588" w:rsidRDefault="00C90588" w:rsidP="00C9058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 xml:space="preserve">Procedure B: </w:t>
      </w:r>
      <w:r>
        <w:rPr>
          <w:color w:val="003399"/>
          <w:sz w:val="44"/>
          <w:szCs w:val="44"/>
        </w:rPr>
        <w:t>Reagents</w:t>
      </w:r>
    </w:p>
    <w:p w14:paraId="1FB84FAD" w14:textId="0E2FF08F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SBS Cartridge</w:t>
      </w:r>
      <w:r w:rsidR="004F55CE">
        <w:t xml:space="preserve"> v1</w:t>
      </w:r>
      <w:r w:rsidRPr="00D676E6">
        <w:t xml:space="preserve"> (Stored at -20</w:t>
      </w:r>
      <w:r w:rsidRPr="00D676E6">
        <w:sym w:font="Symbol" w:char="F0B0"/>
      </w:r>
      <w:r w:rsidRPr="00D676E6">
        <w:t xml:space="preserve">C) </w:t>
      </w:r>
    </w:p>
    <w:p w14:paraId="7CD5727D" w14:textId="2E8E4DC9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Cluster Cartridge</w:t>
      </w:r>
      <w:r w:rsidR="004F55CE">
        <w:t xml:space="preserve"> v1</w:t>
      </w:r>
      <w:r w:rsidRPr="00D676E6">
        <w:t xml:space="preserve"> (Stored at -20</w:t>
      </w:r>
      <w:r w:rsidRPr="00D676E6">
        <w:sym w:font="Symbol" w:char="F0B0"/>
      </w:r>
      <w:r w:rsidRPr="00D676E6">
        <w:t>C)</w:t>
      </w:r>
    </w:p>
    <w:p w14:paraId="23963307" w14:textId="4D31292E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Buffer Cartridge </w:t>
      </w:r>
      <w:r w:rsidR="004F55CE">
        <w:t xml:space="preserve">v1 </w:t>
      </w:r>
      <w:r w:rsidRPr="00D676E6">
        <w:t xml:space="preserve">(Stored at RT) </w:t>
      </w:r>
    </w:p>
    <w:p w14:paraId="543052B5" w14:textId="4D2B34DB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Flow Cell </w:t>
      </w:r>
      <w:r w:rsidR="004F55CE">
        <w:t xml:space="preserve">v1 </w:t>
      </w:r>
      <w:r w:rsidRPr="00D676E6">
        <w:t>(Stored at 4</w:t>
      </w:r>
      <w:r w:rsidRPr="00D676E6">
        <w:sym w:font="Symbol" w:char="F0B0"/>
      </w:r>
      <w:r w:rsidRPr="00D676E6">
        <w:t xml:space="preserve">C) </w:t>
      </w:r>
    </w:p>
    <w:p w14:paraId="5CE1C850" w14:textId="77777777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r w:rsidRPr="00D676E6">
        <w:t>Consumables required for library dilution and spike in</w:t>
      </w:r>
    </w:p>
    <w:p w14:paraId="0A8E07C5" w14:textId="0AC538FE" w:rsidR="00C90588" w:rsidRPr="00C90588" w:rsidRDefault="004F55CE" w:rsidP="004F55CE">
      <w:pPr>
        <w:pStyle w:val="ListParagraph"/>
        <w:numPr>
          <w:ilvl w:val="0"/>
          <w:numId w:val="45"/>
        </w:numPr>
      </w:pPr>
      <w:r>
        <w:t xml:space="preserve">If using version 1.5 of sequencing reagents, longer read1 and read 2 is possible. </w:t>
      </w:r>
    </w:p>
    <w:p w14:paraId="3EDD1D53" w14:textId="47EC89B1" w:rsidR="008E540B" w:rsidRDefault="00C90588" w:rsidP="00C9058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 xml:space="preserve">Procedure B: Setting up </w:t>
      </w:r>
      <w:proofErr w:type="spellStart"/>
      <w:r>
        <w:rPr>
          <w:color w:val="003399"/>
          <w:sz w:val="44"/>
          <w:szCs w:val="44"/>
        </w:rPr>
        <w:t>NovaSeq</w:t>
      </w:r>
      <w:proofErr w:type="spellEnd"/>
      <w:r>
        <w:rPr>
          <w:color w:val="003399"/>
          <w:sz w:val="44"/>
          <w:szCs w:val="44"/>
        </w:rPr>
        <w:t xml:space="preserve"> 6000 sequencer</w:t>
      </w:r>
    </w:p>
    <w:p w14:paraId="56152774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Thaw the two </w:t>
      </w:r>
      <w:proofErr w:type="spellStart"/>
      <w:r w:rsidRPr="00D676E6">
        <w:t>NovaSeq</w:t>
      </w:r>
      <w:proofErr w:type="spellEnd"/>
      <w:r w:rsidRPr="00D676E6">
        <w:t xml:space="preserve"> cartridges and the flow cell according to the System Guide: </w:t>
      </w:r>
    </w:p>
    <w:p w14:paraId="04976E54" w14:textId="77777777" w:rsidR="00C90588" w:rsidRPr="00D676E6" w:rsidRDefault="00C90588" w:rsidP="00C90588">
      <w:pPr>
        <w:spacing w:line="360" w:lineRule="auto"/>
        <w:ind w:left="360"/>
        <w:rPr>
          <w:b/>
        </w:rPr>
      </w:pPr>
      <w:r w:rsidRPr="00D676E6">
        <w:rPr>
          <w:b/>
          <w:noProof/>
          <w:lang w:bidi="he-IL"/>
        </w:rPr>
        <w:drawing>
          <wp:inline distT="0" distB="0" distL="0" distR="0" wp14:anchorId="091B3F27" wp14:editId="75526F77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68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302F" w14:textId="77777777" w:rsidR="00C90588" w:rsidRPr="00D676E6" w:rsidRDefault="00C90588" w:rsidP="00C90588">
      <w:pPr>
        <w:spacing w:line="360" w:lineRule="auto"/>
        <w:ind w:left="360"/>
      </w:pPr>
      <w:r w:rsidRPr="00D676E6">
        <w:t xml:space="preserve">Set the flow cell package aside at room temperature for 10-15 minutes to allow it to reach room temperature. </w:t>
      </w:r>
    </w:p>
    <w:p w14:paraId="2AF5403C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Empty used reagent bottles from the </w:t>
      </w:r>
      <w:proofErr w:type="spellStart"/>
      <w:r w:rsidRPr="00D676E6">
        <w:t>NovaSeq</w:t>
      </w:r>
      <w:proofErr w:type="spellEnd"/>
      <w:r w:rsidRPr="00D676E6">
        <w:t xml:space="preserve">, dispose according to laboratory safety regulations. </w:t>
      </w:r>
    </w:p>
    <w:p w14:paraId="1DAE0A60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Change gl</w:t>
      </w:r>
      <w:bookmarkStart w:id="4" w:name="_GoBack"/>
      <w:bookmarkEnd w:id="4"/>
      <w:r w:rsidRPr="00D676E6">
        <w:t>oves after handling waste.</w:t>
      </w:r>
    </w:p>
    <w:p w14:paraId="38D0D0C7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(Index2).</w:t>
      </w:r>
    </w:p>
    <w:p w14:paraId="3DE63C3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denature and dilute the spiked pool according to the guide. </w:t>
      </w:r>
    </w:p>
    <w:p w14:paraId="44A095E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Inspect the SBS and the Cluster cartridges, invert 10 times and tap the bottom on the bench.</w:t>
      </w:r>
    </w:p>
    <w:p w14:paraId="5FA3477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Load the library into the library tube and insert into position #8 of the cluster cartridge.</w:t>
      </w:r>
    </w:p>
    <w:p w14:paraId="15F94878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 the control software, select “Sequence” and then select a single or dual flow cell run</w:t>
      </w:r>
    </w:p>
    <w:p w14:paraId="175DEBD4" w14:textId="77777777" w:rsidR="00C90588" w:rsidRPr="00D676E6" w:rsidRDefault="00C90588" w:rsidP="00C90588">
      <w:pPr>
        <w:pStyle w:val="ListParagraph"/>
        <w:spacing w:line="360" w:lineRule="auto"/>
      </w:pPr>
      <w:r w:rsidRPr="00D676E6">
        <w:t xml:space="preserve">The flow cell door will open. </w:t>
      </w:r>
    </w:p>
    <w:p w14:paraId="092CDB64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With new powder free gloves, unpack the flow cell and inspect for defects.</w:t>
      </w:r>
    </w:p>
    <w:p w14:paraId="18E947B9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Align the flow cell over the four raised clamps and place it on the flow cell stage.</w:t>
      </w:r>
    </w:p>
    <w:p w14:paraId="4871471E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Select “Close Flow Cell Door.” </w:t>
      </w:r>
    </w:p>
    <w:p w14:paraId="3CC22B9B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Load the SBS, Cluster and Buffer Cartridges. </w:t>
      </w:r>
    </w:p>
    <w:p w14:paraId="000FADC2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Select Checkbox acknowledging that the used reagent bottles </w:t>
      </w:r>
      <w:proofErr w:type="gramStart"/>
      <w:r w:rsidRPr="00D676E6">
        <w:t>have been emptied</w:t>
      </w:r>
      <w:proofErr w:type="gramEnd"/>
      <w:r w:rsidRPr="00D676E6">
        <w:t>.</w:t>
      </w:r>
    </w:p>
    <w:p w14:paraId="748993C9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Select Run Setup button to enter run parameters.</w:t>
      </w:r>
    </w:p>
    <w:p w14:paraId="5CF77B9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Select workflow type (</w:t>
      </w:r>
      <w:proofErr w:type="spellStart"/>
      <w:r w:rsidRPr="00D676E6">
        <w:t>Xp</w:t>
      </w:r>
      <w:proofErr w:type="spellEnd"/>
      <w:r w:rsidRPr="00D676E6">
        <w:t>/Standard).</w:t>
      </w:r>
    </w:p>
    <w:p w14:paraId="1D4CEA7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In the “Run Name” field enter a unique </w:t>
      </w:r>
      <w:proofErr w:type="gramStart"/>
      <w:r w:rsidRPr="00D676E6">
        <w:t>name,</w:t>
      </w:r>
      <w:proofErr w:type="gramEnd"/>
      <w:r w:rsidRPr="00D676E6">
        <w:t xml:space="preserve"> make sure to include the date, the project and any other information that might be useful in identifying this run.</w:t>
      </w:r>
    </w:p>
    <w:p w14:paraId="2ACB507D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Enter the number of cycles to perform in each read following the planned experimental design and the reagents used to make the libraries and sequence: </w:t>
      </w:r>
    </w:p>
    <w:p w14:paraId="54DB97E9" w14:textId="77777777" w:rsidR="00C90588" w:rsidRPr="00D676E6" w:rsidRDefault="00C90588" w:rsidP="00C90588"/>
    <w:p w14:paraId="075FB0F2" w14:textId="77777777" w:rsidR="00C90588" w:rsidRPr="00D676E6" w:rsidRDefault="00C90588" w:rsidP="00C90588"/>
    <w:p w14:paraId="7D13EB95" w14:textId="77777777" w:rsidR="00C90588" w:rsidRPr="00D676E6" w:rsidRDefault="00C90588" w:rsidP="00C90588"/>
    <w:tbl>
      <w:tblPr>
        <w:tblW w:w="8860" w:type="dxa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140CCA62" w14:textId="77777777" w:rsidTr="00DA5BB1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B1C3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D386A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2BA6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9722C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DC6FE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7E347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6EEF0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9465A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53A6F0A7" w14:textId="77777777" w:rsidTr="00DA5BB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C35B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SP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44E9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8A18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805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E68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5A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43A6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FAD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087FD630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B1082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51CE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7CF3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1E2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6D5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B55B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44F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A61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2A0BD36B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8942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7629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BC2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823A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A0B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231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2AB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AEBF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B47E937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A776E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47C58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1D7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AAAF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03F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5553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3554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D219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2EBE925F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ABE8A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B2FD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B50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103D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B786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E7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33AD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BC6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033F61A8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21F60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A900C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04F6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1ABA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FE6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9A8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8F0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D2C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7FF210A6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22E71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78AC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443E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A543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D1A9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FD75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732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9C1F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251</w:t>
            </w:r>
          </w:p>
        </w:tc>
      </w:tr>
      <w:tr w:rsidR="00C90588" w:rsidRPr="00D676E6" w14:paraId="418D8979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5A3C6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892F6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AB6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6590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024E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3EA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8D9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B14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247</w:t>
            </w:r>
          </w:p>
        </w:tc>
      </w:tr>
      <w:tr w:rsidR="00C90588" w:rsidRPr="00D676E6" w14:paraId="4C76D4A6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FD121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6C79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B53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ABCA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proofErr w:type="spellStart"/>
            <w:r w:rsidRPr="00D676E6">
              <w:rPr>
                <w:color w:val="000000"/>
              </w:rPr>
              <w:t>Nextera</w:t>
            </w:r>
            <w:proofErr w:type="spellEnd"/>
            <w:r w:rsidRPr="00D676E6">
              <w:rPr>
                <w:color w:val="000000"/>
              </w:rPr>
              <w:t xml:space="preserve"> Flex DNA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2FB0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3B7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D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360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249</w:t>
            </w:r>
          </w:p>
        </w:tc>
      </w:tr>
      <w:tr w:rsidR="00C90588" w:rsidRPr="00D676E6" w14:paraId="1A199753" w14:textId="77777777" w:rsidTr="00DA5BB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B7EE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CDDA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3FF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D97F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A8A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5F3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C80B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47C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4821E03A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F0751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8A929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519A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544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8DF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3D35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C7E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1AB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0FBA5F6F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3E883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C274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C650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D3AA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EA1D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2DB5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40F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BBF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0DB4607D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EBD14E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98F1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C1E9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0B13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7C1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744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375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D334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693B96AC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652C8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A56A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966B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6893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CA36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484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347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D30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5575D560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02A3E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14A4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DFF5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77E6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676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D040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0EAE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2BA9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365AD76E" w14:textId="77777777" w:rsidTr="00DA5BB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9BB1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AAA6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5183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D2B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069B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1929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243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4884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3CE3C365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76AF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9F043B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335B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27DC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223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D5D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CA5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28CB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0A982644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BD6C2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7485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3F4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5FB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E59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E6E4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772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8B4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7DBB3A0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0B68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718E1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66A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D242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13A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DA2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57B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2AB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3E8A3F81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6F8B6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3410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0A67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DAED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0D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D18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17B0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8724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3D1E8861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30005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49695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B901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4443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A39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AC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BE50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0D28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51419669" w14:textId="77777777" w:rsidTr="00DA5BB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AB4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3097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220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41F9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F12E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5824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1C2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753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7070DA1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42A20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0E60A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45C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4862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C512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2BD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AAF3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0FEE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563572D6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2B02E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B49F" w14:textId="77777777" w:rsidR="00C90588" w:rsidRPr="00D676E6" w:rsidRDefault="00C90588" w:rsidP="00DA5BB1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FE6C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33B9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2CC6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AFC6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24E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BA49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4BE79205" w14:textId="77777777" w:rsidTr="00DA5BB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3605F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4F42D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501D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6CB6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57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3E79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8A0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728E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</w:tbl>
    <w:p w14:paraId="0DD99AE4" w14:textId="77777777" w:rsidR="00C90588" w:rsidRPr="00D676E6" w:rsidRDefault="00C90588" w:rsidP="00C90588">
      <w:pPr>
        <w:pStyle w:val="ListParagraph"/>
        <w:spacing w:line="360" w:lineRule="auto"/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74DD6028" w14:textId="77777777" w:rsidTr="00DA5BB1">
        <w:trPr>
          <w:trHeight w:val="300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E4D5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  <w:p w14:paraId="5FB2AE92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  <w:p w14:paraId="64E00628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10X Single Cell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14B0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437B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B196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75A7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36F2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DEDB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90588" w:rsidRPr="00D676E6" w14:paraId="307CECBC" w14:textId="77777777" w:rsidTr="00DA5BB1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ECE3F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B4080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61A7B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2D26E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F6F3E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BA0F3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54D5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53EF4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2E505EC7" w14:textId="77777777" w:rsidTr="00DA5B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6D2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7DEA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DD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FD2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994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C05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B6BF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96A1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91</w:t>
            </w:r>
          </w:p>
        </w:tc>
      </w:tr>
      <w:tr w:rsidR="00C90588" w:rsidRPr="00D676E6" w14:paraId="01A34F33" w14:textId="77777777" w:rsidTr="00DA5BB1">
        <w:trPr>
          <w:trHeight w:val="300"/>
        </w:trPr>
        <w:tc>
          <w:tcPr>
            <w:tcW w:w="3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CC49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  <w:p w14:paraId="22B9FE1D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 xml:space="preserve">Spatial </w:t>
            </w:r>
            <w:proofErr w:type="spellStart"/>
            <w:r w:rsidRPr="00D676E6">
              <w:rPr>
                <w:color w:val="000000"/>
              </w:rPr>
              <w:t>Transcriptomics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019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7674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EBAE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3C8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A186" w14:textId="77777777" w:rsidR="00C90588" w:rsidRPr="00D676E6" w:rsidRDefault="00C90588" w:rsidP="00DA5BB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90588" w:rsidRPr="00D676E6" w14:paraId="753C38DA" w14:textId="77777777" w:rsidTr="00DA5BB1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20FDF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7CEA1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EDC2B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123C2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7D8E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6D47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31B94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5CDFD" w14:textId="77777777" w:rsidR="00C90588" w:rsidRPr="00D676E6" w:rsidRDefault="00C90588" w:rsidP="00DA5BB1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589A3971" w14:textId="77777777" w:rsidTr="00DA5B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EA26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7D77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E08D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3C0B" w14:textId="77777777" w:rsidR="00C90588" w:rsidRPr="00D676E6" w:rsidRDefault="00C90588" w:rsidP="00DA5BB1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3C06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9DB4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CF0C" w14:textId="77777777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ABDE" w14:textId="1DB235EC" w:rsidR="00C90588" w:rsidRPr="00D676E6" w:rsidRDefault="00C90588" w:rsidP="00DA5BB1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</w:tr>
    </w:tbl>
    <w:p w14:paraId="2F9A8B74" w14:textId="77777777" w:rsidR="00C90588" w:rsidRPr="00D676E6" w:rsidRDefault="00C90588" w:rsidP="00C90588">
      <w:pPr>
        <w:tabs>
          <w:tab w:val="left" w:pos="2361"/>
        </w:tabs>
      </w:pPr>
    </w:p>
    <w:p w14:paraId="56E4AE17" w14:textId="77777777" w:rsidR="00C90588" w:rsidRPr="00D676E6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 xml:space="preserve">Select output folder. </w:t>
      </w:r>
    </w:p>
    <w:p w14:paraId="1DF7971A" w14:textId="77777777" w:rsidR="00C90588" w:rsidRPr="00D676E6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>Confirm the run parameters on the Review screen.</w:t>
      </w:r>
    </w:p>
    <w:p w14:paraId="3E6C85C1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645417A0" w14:textId="77777777" w:rsidR="00C90588" w:rsidRPr="00D676E6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>Select “Start Run.”</w:t>
      </w:r>
    </w:p>
    <w:p w14:paraId="61D95CC5" w14:textId="77777777" w:rsidR="00C90588" w:rsidRPr="00C90588" w:rsidRDefault="00C90588" w:rsidP="00C90588"/>
    <w:sectPr w:rsidR="00C90588" w:rsidRPr="00C905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2CB3B" w14:textId="77777777" w:rsidR="00B1075B" w:rsidRDefault="00B1075B" w:rsidP="004A4AC8">
      <w:pPr>
        <w:spacing w:after="0" w:line="240" w:lineRule="auto"/>
      </w:pPr>
      <w:r>
        <w:separator/>
      </w:r>
    </w:p>
  </w:endnote>
  <w:endnote w:type="continuationSeparator" w:id="0">
    <w:p w14:paraId="30309165" w14:textId="77777777" w:rsidR="00B1075B" w:rsidRDefault="00B1075B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C9EE0" w14:textId="79F7BFAD" w:rsidR="000541FA" w:rsidRDefault="000541FA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1A289379" w:rsidR="004A4AC8" w:rsidRPr="00DF3863" w:rsidRDefault="00C90588" w:rsidP="00141EAE">
    <w:pPr>
      <w:tabs>
        <w:tab w:val="center" w:pos="4550"/>
        <w:tab w:val="left" w:pos="5818"/>
      </w:tabs>
      <w:ind w:right="260"/>
      <w:rPr>
        <w:color w:val="003399"/>
      </w:rPr>
    </w:pPr>
    <w:r>
      <w:rPr>
        <w:rFonts w:cstheme="minorHAnsi"/>
        <w:color w:val="003399"/>
        <w:spacing w:val="60"/>
      </w:rPr>
      <w:t xml:space="preserve">Setting up </w:t>
    </w:r>
    <w:proofErr w:type="spellStart"/>
    <w:r>
      <w:rPr>
        <w:rFonts w:cstheme="minorHAnsi"/>
        <w:color w:val="003399"/>
        <w:spacing w:val="60"/>
      </w:rPr>
      <w:t>NovaSeq</w:t>
    </w:r>
    <w:proofErr w:type="spellEnd"/>
    <w:r>
      <w:rPr>
        <w:rFonts w:cstheme="minorHAnsi"/>
        <w:color w:val="003399"/>
        <w:spacing w:val="60"/>
      </w:rPr>
      <w:t xml:space="preserve"> 6000 and </w:t>
    </w:r>
    <w:proofErr w:type="spellStart"/>
    <w:r>
      <w:rPr>
        <w:rFonts w:cstheme="minorHAnsi"/>
        <w:color w:val="003399"/>
        <w:spacing w:val="60"/>
      </w:rPr>
      <w:t>iSeq</w:t>
    </w:r>
    <w:proofErr w:type="spellEnd"/>
    <w:r>
      <w:rPr>
        <w:rFonts w:cstheme="minorHAnsi"/>
        <w:color w:val="003399"/>
        <w:spacing w:val="60"/>
      </w:rPr>
      <w:t xml:space="preserve"> 100</w:t>
    </w:r>
    <w:r w:rsidR="00D4281A" w:rsidRPr="00DF3863">
      <w:rPr>
        <w:color w:val="003399"/>
        <w:spacing w:val="60"/>
      </w:rPr>
      <w:tab/>
    </w:r>
    <w:r w:rsidR="00141EAE">
      <w:rPr>
        <w:color w:val="003399"/>
        <w:spacing w:val="60"/>
      </w:rPr>
      <w:t xml:space="preserve">                      P</w:t>
    </w:r>
    <w:r w:rsidR="004A4AC8" w:rsidRPr="00DF3863">
      <w:rPr>
        <w:color w:val="003399"/>
        <w:spacing w:val="60"/>
      </w:rPr>
      <w:t>age</w:t>
    </w:r>
    <w:r w:rsidR="004A4AC8" w:rsidRPr="00DF3863">
      <w:rPr>
        <w:color w:val="003399"/>
      </w:rPr>
      <w:t xml:space="preserve"> </w:t>
    </w:r>
    <w:r w:rsidR="004A4AC8" w:rsidRPr="00DF3863">
      <w:rPr>
        <w:color w:val="003399"/>
      </w:rPr>
      <w:fldChar w:fldCharType="begin"/>
    </w:r>
    <w:r w:rsidR="004A4AC8" w:rsidRPr="00DF3863">
      <w:rPr>
        <w:color w:val="003399"/>
      </w:rPr>
      <w:instrText xml:space="preserve"> PAGE   \* MERGEFORMAT </w:instrText>
    </w:r>
    <w:r w:rsidR="004A4AC8" w:rsidRPr="00DF3863">
      <w:rPr>
        <w:color w:val="003399"/>
      </w:rPr>
      <w:fldChar w:fldCharType="separate"/>
    </w:r>
    <w:r w:rsidR="006F5946">
      <w:rPr>
        <w:noProof/>
        <w:color w:val="003399"/>
      </w:rPr>
      <w:t>9</w:t>
    </w:r>
    <w:r w:rsidR="004A4AC8" w:rsidRPr="00DF3863">
      <w:rPr>
        <w:color w:val="003399"/>
      </w:rPr>
      <w:fldChar w:fldCharType="end"/>
    </w:r>
    <w:r w:rsidR="004A4AC8" w:rsidRPr="00DF3863">
      <w:rPr>
        <w:color w:val="003399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3D10A" w14:textId="77777777" w:rsidR="00B1075B" w:rsidRDefault="00B1075B" w:rsidP="004A4AC8">
      <w:pPr>
        <w:spacing w:after="0" w:line="240" w:lineRule="auto"/>
      </w:pPr>
      <w:r>
        <w:separator/>
      </w:r>
    </w:p>
  </w:footnote>
  <w:footnote w:type="continuationSeparator" w:id="0">
    <w:p w14:paraId="4B0E6B25" w14:textId="77777777" w:rsidR="00B1075B" w:rsidRDefault="00B1075B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E263" w14:textId="0C5D77F7" w:rsidR="004A4AC8" w:rsidRDefault="00DF3ED8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bidi="he-IL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B358F9"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0541FA" w:rsidRPr="00B358F9" w:rsidRDefault="000541FA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07C1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D2E46"/>
    <w:multiLevelType w:val="hybridMultilevel"/>
    <w:tmpl w:val="BBC2A072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579A1"/>
    <w:multiLevelType w:val="hybridMultilevel"/>
    <w:tmpl w:val="891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2E98"/>
    <w:multiLevelType w:val="hybridMultilevel"/>
    <w:tmpl w:val="84145ECA"/>
    <w:lvl w:ilvl="0" w:tplc="48EE5C9E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7C5B"/>
    <w:multiLevelType w:val="hybridMultilevel"/>
    <w:tmpl w:val="8D86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A28F1"/>
    <w:multiLevelType w:val="hybridMultilevel"/>
    <w:tmpl w:val="E18095DA"/>
    <w:lvl w:ilvl="0" w:tplc="82B491DE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16BF"/>
    <w:multiLevelType w:val="hybridMultilevel"/>
    <w:tmpl w:val="65B68930"/>
    <w:lvl w:ilvl="0" w:tplc="60369714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D6B9E"/>
    <w:multiLevelType w:val="hybridMultilevel"/>
    <w:tmpl w:val="5AF4BBA4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44150"/>
    <w:multiLevelType w:val="hybridMultilevel"/>
    <w:tmpl w:val="B622BB8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1031C"/>
    <w:multiLevelType w:val="hybridMultilevel"/>
    <w:tmpl w:val="8606FC38"/>
    <w:lvl w:ilvl="0" w:tplc="BB4E5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63B6"/>
    <w:multiLevelType w:val="hybridMultilevel"/>
    <w:tmpl w:val="FB220550"/>
    <w:lvl w:ilvl="0" w:tplc="815C0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D57E8"/>
    <w:multiLevelType w:val="hybridMultilevel"/>
    <w:tmpl w:val="2966B0FA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4FBB"/>
    <w:multiLevelType w:val="hybridMultilevel"/>
    <w:tmpl w:val="E5DE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0C2ED1"/>
    <w:multiLevelType w:val="hybridMultilevel"/>
    <w:tmpl w:val="63A2C22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6091D"/>
    <w:multiLevelType w:val="hybridMultilevel"/>
    <w:tmpl w:val="EAD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C08F8"/>
    <w:multiLevelType w:val="hybridMultilevel"/>
    <w:tmpl w:val="637C00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0B1C5D"/>
    <w:multiLevelType w:val="hybridMultilevel"/>
    <w:tmpl w:val="B2B08D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108DE"/>
    <w:multiLevelType w:val="hybridMultilevel"/>
    <w:tmpl w:val="05F618EA"/>
    <w:lvl w:ilvl="0" w:tplc="2BEA0AE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343B"/>
    <w:multiLevelType w:val="hybridMultilevel"/>
    <w:tmpl w:val="A1746B30"/>
    <w:lvl w:ilvl="0" w:tplc="DFE01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44B66"/>
    <w:multiLevelType w:val="hybridMultilevel"/>
    <w:tmpl w:val="7BCE11A4"/>
    <w:lvl w:ilvl="0" w:tplc="3FF28A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46DB3"/>
    <w:multiLevelType w:val="hybridMultilevel"/>
    <w:tmpl w:val="03309262"/>
    <w:lvl w:ilvl="0" w:tplc="4CB63E0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AB1295"/>
    <w:multiLevelType w:val="hybridMultilevel"/>
    <w:tmpl w:val="15745C6C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9662B8C"/>
    <w:multiLevelType w:val="hybridMultilevel"/>
    <w:tmpl w:val="CFB4E674"/>
    <w:lvl w:ilvl="0" w:tplc="4470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41077"/>
    <w:multiLevelType w:val="hybridMultilevel"/>
    <w:tmpl w:val="A1EC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E64F3"/>
    <w:multiLevelType w:val="hybridMultilevel"/>
    <w:tmpl w:val="BB983942"/>
    <w:lvl w:ilvl="0" w:tplc="712C2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35FA3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053ACF"/>
    <w:multiLevelType w:val="hybridMultilevel"/>
    <w:tmpl w:val="3ADC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5"/>
  </w:num>
  <w:num w:numId="3">
    <w:abstractNumId w:val="42"/>
  </w:num>
  <w:num w:numId="4">
    <w:abstractNumId w:val="30"/>
  </w:num>
  <w:num w:numId="5">
    <w:abstractNumId w:val="31"/>
  </w:num>
  <w:num w:numId="6">
    <w:abstractNumId w:val="17"/>
  </w:num>
  <w:num w:numId="7">
    <w:abstractNumId w:val="33"/>
  </w:num>
  <w:num w:numId="8">
    <w:abstractNumId w:val="23"/>
  </w:num>
  <w:num w:numId="9">
    <w:abstractNumId w:val="36"/>
  </w:num>
  <w:num w:numId="10">
    <w:abstractNumId w:val="0"/>
  </w:num>
  <w:num w:numId="11">
    <w:abstractNumId w:val="19"/>
  </w:num>
  <w:num w:numId="12">
    <w:abstractNumId w:val="25"/>
  </w:num>
  <w:num w:numId="13">
    <w:abstractNumId w:val="28"/>
  </w:num>
  <w:num w:numId="14">
    <w:abstractNumId w:val="38"/>
  </w:num>
  <w:num w:numId="15">
    <w:abstractNumId w:val="15"/>
  </w:num>
  <w:num w:numId="16">
    <w:abstractNumId w:val="14"/>
  </w:num>
  <w:num w:numId="17">
    <w:abstractNumId w:val="10"/>
  </w:num>
  <w:num w:numId="18">
    <w:abstractNumId w:val="39"/>
  </w:num>
  <w:num w:numId="19">
    <w:abstractNumId w:val="39"/>
  </w:num>
  <w:num w:numId="20">
    <w:abstractNumId w:val="32"/>
  </w:num>
  <w:num w:numId="21">
    <w:abstractNumId w:val="13"/>
  </w:num>
  <w:num w:numId="22">
    <w:abstractNumId w:val="34"/>
  </w:num>
  <w:num w:numId="23">
    <w:abstractNumId w:val="11"/>
  </w:num>
  <w:num w:numId="24">
    <w:abstractNumId w:val="2"/>
  </w:num>
  <w:num w:numId="25">
    <w:abstractNumId w:val="18"/>
  </w:num>
  <w:num w:numId="26">
    <w:abstractNumId w:val="29"/>
  </w:num>
  <w:num w:numId="27">
    <w:abstractNumId w:val="27"/>
  </w:num>
  <w:num w:numId="28">
    <w:abstractNumId w:val="8"/>
  </w:num>
  <w:num w:numId="29">
    <w:abstractNumId w:val="9"/>
  </w:num>
  <w:num w:numId="30">
    <w:abstractNumId w:val="16"/>
  </w:num>
  <w:num w:numId="31">
    <w:abstractNumId w:val="4"/>
  </w:num>
  <w:num w:numId="32">
    <w:abstractNumId w:val="7"/>
  </w:num>
  <w:num w:numId="33">
    <w:abstractNumId w:val="5"/>
  </w:num>
  <w:num w:numId="34">
    <w:abstractNumId w:val="6"/>
  </w:num>
  <w:num w:numId="35">
    <w:abstractNumId w:val="26"/>
  </w:num>
  <w:num w:numId="36">
    <w:abstractNumId w:val="21"/>
  </w:num>
  <w:num w:numId="37">
    <w:abstractNumId w:val="37"/>
  </w:num>
  <w:num w:numId="38">
    <w:abstractNumId w:val="43"/>
  </w:num>
  <w:num w:numId="39">
    <w:abstractNumId w:val="24"/>
  </w:num>
  <w:num w:numId="40">
    <w:abstractNumId w:val="41"/>
  </w:num>
  <w:num w:numId="41">
    <w:abstractNumId w:val="20"/>
  </w:num>
  <w:num w:numId="42">
    <w:abstractNumId w:val="22"/>
  </w:num>
  <w:num w:numId="43">
    <w:abstractNumId w:val="1"/>
  </w:num>
  <w:num w:numId="44">
    <w:abstractNumId w:val="1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C8"/>
    <w:rsid w:val="000541FA"/>
    <w:rsid w:val="0006750A"/>
    <w:rsid w:val="0008458C"/>
    <w:rsid w:val="000A2017"/>
    <w:rsid w:val="00141EAE"/>
    <w:rsid w:val="00143AD3"/>
    <w:rsid w:val="001741C6"/>
    <w:rsid w:val="00183390"/>
    <w:rsid w:val="00250DE1"/>
    <w:rsid w:val="002B77B3"/>
    <w:rsid w:val="0035309A"/>
    <w:rsid w:val="00361193"/>
    <w:rsid w:val="00364859"/>
    <w:rsid w:val="0039176D"/>
    <w:rsid w:val="003F764B"/>
    <w:rsid w:val="00484F03"/>
    <w:rsid w:val="0048684E"/>
    <w:rsid w:val="004A4AC8"/>
    <w:rsid w:val="004C712D"/>
    <w:rsid w:val="004F55CE"/>
    <w:rsid w:val="00567CA2"/>
    <w:rsid w:val="00581372"/>
    <w:rsid w:val="00594541"/>
    <w:rsid w:val="005A74BC"/>
    <w:rsid w:val="005D17A7"/>
    <w:rsid w:val="00646295"/>
    <w:rsid w:val="006F5082"/>
    <w:rsid w:val="006F5946"/>
    <w:rsid w:val="00730174"/>
    <w:rsid w:val="00735182"/>
    <w:rsid w:val="00740196"/>
    <w:rsid w:val="00766226"/>
    <w:rsid w:val="00774103"/>
    <w:rsid w:val="00784AF8"/>
    <w:rsid w:val="007A1630"/>
    <w:rsid w:val="007C3504"/>
    <w:rsid w:val="007C570C"/>
    <w:rsid w:val="007D1B11"/>
    <w:rsid w:val="00847E7A"/>
    <w:rsid w:val="008E540B"/>
    <w:rsid w:val="008F5503"/>
    <w:rsid w:val="009200EB"/>
    <w:rsid w:val="00934AC0"/>
    <w:rsid w:val="00977F04"/>
    <w:rsid w:val="009A2282"/>
    <w:rsid w:val="009E1ED0"/>
    <w:rsid w:val="009F7EB1"/>
    <w:rsid w:val="00B1075B"/>
    <w:rsid w:val="00B358F9"/>
    <w:rsid w:val="00B43DB4"/>
    <w:rsid w:val="00B71785"/>
    <w:rsid w:val="00B73DCA"/>
    <w:rsid w:val="00B74F15"/>
    <w:rsid w:val="00BD2DB4"/>
    <w:rsid w:val="00C143FA"/>
    <w:rsid w:val="00C26DD6"/>
    <w:rsid w:val="00C42CD2"/>
    <w:rsid w:val="00C53D29"/>
    <w:rsid w:val="00C60C14"/>
    <w:rsid w:val="00C7577D"/>
    <w:rsid w:val="00C83D86"/>
    <w:rsid w:val="00C90588"/>
    <w:rsid w:val="00CF7158"/>
    <w:rsid w:val="00D243F6"/>
    <w:rsid w:val="00D4281A"/>
    <w:rsid w:val="00D5686E"/>
    <w:rsid w:val="00D6004D"/>
    <w:rsid w:val="00DB55A1"/>
    <w:rsid w:val="00DF3863"/>
    <w:rsid w:val="00DF3ED8"/>
    <w:rsid w:val="00E114DB"/>
    <w:rsid w:val="00E46191"/>
    <w:rsid w:val="00E9679C"/>
    <w:rsid w:val="00EA70DD"/>
    <w:rsid w:val="00ED2661"/>
    <w:rsid w:val="00F03723"/>
    <w:rsid w:val="00F6486C"/>
    <w:rsid w:val="00F6495E"/>
    <w:rsid w:val="00F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5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CD89-640E-406D-B6D7-E1BA54ED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Boyko, Valery (ARC-SCR)[WYLE LABS]</cp:lastModifiedBy>
  <cp:revision>6</cp:revision>
  <cp:lastPrinted>2021-01-26T21:06:00Z</cp:lastPrinted>
  <dcterms:created xsi:type="dcterms:W3CDTF">2021-01-26T20:58:00Z</dcterms:created>
  <dcterms:modified xsi:type="dcterms:W3CDTF">2021-01-26T21:07:00Z</dcterms:modified>
</cp:coreProperties>
</file>