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40" w:before="0"/>
        <w:jc w:val="center"/>
      </w:pPr>
      <w:r>
        <w:rPr>
          <w:rFonts w:ascii="Arial" w:cs="Arial" w:eastAsia="Arial" w:hAnsi="Arial"/>
          <w:b/>
          <w:bCs/>
          <w:color w:val="1F4E79"/>
          <w:sz w:val="52"/>
          <w:szCs w:val="52"/>
        </w:rPr>
        <w:t xml:space="preserve">FINAL PROJECT REPORT</w:t>
      </w:r>
    </w:p>
    <w:p>
      <w:pPr>
        <w:spacing w:after="100" w:before="0"/>
        <w:jc w:val="center"/>
      </w:pPr>
      <w:r>
        <w:rPr>
          <w:rFonts w:ascii="Arial" w:cs="Arial" w:eastAsia="Arial" w:hAnsi="Arial"/>
          <w:color w:val="2E75B6"/>
          <w:sz w:val="36"/>
          <w:szCs w:val="36"/>
        </w:rPr>
        <w:t xml:space="preserve">Workplace Injury Outcome Prediction Using</w:t>
      </w:r>
    </w:p>
    <w:p>
      <w:pPr>
        <w:spacing w:after="400" w:before="0"/>
        <w:jc w:val="center"/>
      </w:pPr>
      <w:r>
        <w:rPr>
          <w:rFonts w:ascii="Arial" w:cs="Arial" w:eastAsia="Arial" w:hAnsi="Arial"/>
          <w:color w:val="2E75B6"/>
          <w:sz w:val="36"/>
          <w:szCs w:val="36"/>
        </w:rPr>
        <w:t xml:space="preserve">Machine Learning on OSHA ITA Case Detail Data</w:t>
      </w:r>
    </w:p>
    <w:p>
      <w:pPr>
        <w:pBdr>
          <w:top w:val="single" w:color="2E75B6" w:sz="6" w:space="4"/>
          <w:bottom w:val="single" w:color="2E75B6" w:sz="6" w:space="4"/>
        </w:pBdr>
        <w:spacing w:after="200" w:before="200"/>
        <w:jc w:val="center"/>
      </w:pPr>
      <w:r>
        <w:rPr>
          <w:rFonts w:ascii="Arial" w:cs="Arial" w:eastAsia="Arial" w:hAnsi="Arial"/>
          <w:i/>
          <w:iCs/>
          <w:color w:val="555555"/>
          <w:sz w:val="28"/>
          <w:szCs w:val="28"/>
        </w:rPr>
        <w:t xml:space="preserve">Data Science &amp; Machine Learning Capstone Project</w:t>
      </w:r>
    </w:p>
    <w:p>
      <w:pPr>
        <w:spacing w:after="60" w:before="60"/>
      </w:pPr>
      <w:r>
        <w:t xml:space="preserve"/>
      </w:r>
    </w:p>
    <w:p>
      <w:pPr>
        <w:spacing w:after="60" w:before="60"/>
      </w:pPr>
      <w:r>
        <w:t xml:space="preserve"/>
      </w:r>
    </w:p>
    <w:p>
      <w:pPr>
        <w:jc w:val="center"/>
      </w:pPr>
      <w:r>
        <w:rPr>
          <w:rFonts w:ascii="Arial" w:cs="Arial" w:eastAsia="Arial" w:hAnsi="Arial"/>
          <w:b/>
          <w:bCs/>
          <w:color w:val="1F4E79"/>
          <w:sz w:val="26"/>
          <w:szCs w:val="26"/>
        </w:rPr>
        <w:t xml:space="preserve">Final Model: LightGBM Classifier</w:t>
      </w:r>
    </w:p>
    <w:p>
      <w:pPr>
        <w:spacing w:after="60" w:before="60"/>
      </w:pPr>
      <w:r>
        <w:t xml:space="preserve"/>
      </w:r>
    </w:p>
    <w:p>
      <w:pPr>
        <w:jc w:val="center"/>
      </w:pPr>
      <w:r>
        <w:rPr>
          <w:rFonts w:ascii="Arial" w:cs="Arial" w:eastAsia="Arial" w:hAnsi="Arial"/>
          <w:color w:val="444444"/>
          <w:sz w:val="24"/>
          <w:szCs w:val="24"/>
        </w:rPr>
        <w:t xml:space="preserve">Dataset: ITA Case Detail Data 2024 through 08-31-2025</w:t>
      </w:r>
    </w:p>
    <w:p>
      <w:pPr>
        <w:jc w:val="center"/>
      </w:pPr>
      <w:r>
        <w:rPr>
          <w:rFonts w:ascii="Arial" w:cs="Arial" w:eastAsia="Arial" w:hAnsi="Arial"/>
          <w:color w:val="444444"/>
          <w:sz w:val="24"/>
          <w:szCs w:val="24"/>
        </w:rPr>
        <w:t xml:space="preserve">Source: U.S. Occupational Safety and Health Administration (OSHA)</w:t>
      </w:r>
    </w:p>
    <w:p>
      <w:pPr>
        <w:jc w:val="center"/>
      </w:pPr>
      <w:r>
        <w:rPr>
          <w:rFonts w:ascii="Arial" w:cs="Arial" w:eastAsia="Arial" w:hAnsi="Arial"/>
          <w:color w:val="444444"/>
          <w:sz w:val="24"/>
          <w:szCs w:val="24"/>
        </w:rPr>
        <w:t xml:space="preserve">Submission Date: 2025</w:t>
      </w:r>
    </w:p>
    <w:p>
      <w:pPr>
        <w:spacing w:after="60" w:before="60"/>
      </w:pPr>
      <w:r>
        <w:t xml:space="preserve"/>
      </w:r>
    </w:p>
    <w:p>
      <w:pPr>
        <w:spacing w:after="60" w:before="60"/>
      </w:pPr>
      <w:r>
        <w:t xml:space="preserve"/>
      </w:r>
    </w:p>
    <w:p>
      <w:pPr>
        <w:spacing w:after="60" w:before="60"/>
      </w:pPr>
      <w:r>
        <w:t xml:space="preserve"/>
      </w:r>
    </w:p>
    <w:p>
      <w:r>
        <w:br w:type="page"/>
      </w:r>
    </w:p>
    <w:p>
      <w:pPr>
        <w:pStyle w:val="Heading1"/>
      </w:pPr>
      <w:r>
        <w:rPr>
          <w:rFonts w:ascii="Arial" w:cs="Arial" w:eastAsia="Arial" w:hAnsi="Arial"/>
          <w:b/>
          <w:bCs/>
          <w:color w:val="1F4E79"/>
          <w:sz w:val="36"/>
          <w:szCs w:val="36"/>
        </w:rPr>
        <w:t xml:space="preserve">1. Summary of Problem Statement, Data and Findings</w:t>
      </w:r>
    </w:p>
    <w:p>
      <w:pPr>
        <w:spacing w:after="80" w:before="80"/>
        <w:jc w:val="both"/>
      </w:pPr>
      <w:r>
        <w:rPr>
          <w:rFonts w:ascii="Arial" w:cs="Arial" w:eastAsia="Arial" w:hAnsi="Arial"/>
          <w:sz w:val="24"/>
          <w:szCs w:val="24"/>
        </w:rPr>
        <w:t xml:space="preserve">Workplace injuries impose a severe economic and social burden on employees, employers, and public health systems. Each year, the U.S. Occupational Safety and Health Administration (OSHA) collects millions of mandatory incident records through its Injury Tracking Application (ITA). This project leverages that dataset to build a machine learning system capable of predicting the outcome of a workplace incident before — or immediately after — it occurs, thereby enabling proactive safety interventions.</w:t>
      </w:r>
    </w:p>
    <w:p>
      <w:pPr>
        <w:spacing w:after="60" w:before="60"/>
      </w:pPr>
      <w:r>
        <w:t xml:space="preserve"/>
      </w:r>
    </w:p>
    <w:p>
      <w:pPr>
        <w:spacing w:after="80" w:before="80"/>
        <w:jc w:val="both"/>
      </w:pPr>
      <w:r>
        <w:rPr>
          <w:rFonts w:ascii="Arial" w:cs="Arial" w:eastAsia="Arial" w:hAnsi="Arial"/>
          <w:b/>
          <w:bCs/>
          <w:sz w:val="24"/>
          <w:szCs w:val="24"/>
        </w:rPr>
        <w:t xml:space="preserve">Problem Statement: </w:t>
      </w:r>
      <w:r>
        <w:rPr>
          <w:rFonts w:ascii="Arial" w:cs="Arial" w:eastAsia="Arial" w:hAnsi="Arial"/>
          <w:sz w:val="24"/>
          <w:szCs w:val="24"/>
        </w:rPr>
        <w:t xml:space="preserve">The objective of this project is to develop a robust multi-class classification model that predicts the severity of a workplace incident outcome into one of four categories: Death, Days Away From Work (DAFW), Job Transfer or Restriction, and Other Recordable Case. The prediction is based on structured establishment data, occupational codes, temporal features, and unstructured incident narratives.</w:t>
      </w:r>
    </w:p>
    <w:p>
      <w:pPr>
        <w:spacing w:after="60" w:before="60"/>
      </w:pPr>
      <w:r>
        <w:t xml:space="preserve"/>
      </w:r>
    </w:p>
    <w:p>
      <w:pPr>
        <w:spacing w:after="80" w:before="80"/>
        <w:jc w:val="both"/>
      </w:pPr>
      <w:r>
        <w:rPr>
          <w:rFonts w:ascii="Arial" w:cs="Arial" w:eastAsia="Arial" w:hAnsi="Arial"/>
          <w:b/>
          <w:bCs/>
          <w:sz w:val="24"/>
          <w:szCs w:val="24"/>
        </w:rPr>
        <w:t xml:space="preserve">Data: </w:t>
      </w:r>
      <w:r>
        <w:rPr>
          <w:rFonts w:ascii="Arial" w:cs="Arial" w:eastAsia="Arial" w:hAnsi="Arial"/>
          <w:sz w:val="24"/>
          <w:szCs w:val="24"/>
        </w:rPr>
        <w:t xml:space="preserve">The primary dataset is the OSHA ITA Case Detail Data covering January 2024 through August 31, 2025, comprising 686,806 records and 39 raw variables. After rigorous preprocessing — including missing value treatment, duplicate removal, type correction, and feature engineering — the working dataset contained 683,962 records and 586 engineered features. Seven unstructured narrative text columns were processed using TF-IDF vectorization (500 features) and merged with structured features.</w:t>
      </w:r>
    </w:p>
    <w:p>
      <w:pPr>
        <w:spacing w:after="60" w:before="60"/>
      </w:pPr>
      <w:r>
        <w:t xml:space="preserve"/>
      </w:r>
    </w:p>
    <w:p>
      <w:pPr>
        <w:spacing w:after="80" w:before="80"/>
        <w:jc w:val="both"/>
      </w:pPr>
      <w:r>
        <w:rPr>
          <w:rFonts w:ascii="Arial" w:cs="Arial" w:eastAsia="Arial" w:hAnsi="Arial"/>
          <w:b/>
          <w:bCs/>
          <w:sz w:val="24"/>
          <w:szCs w:val="24"/>
        </w:rPr>
        <w:t xml:space="preserve">Key Findings: </w:t>
      </w:r>
      <w:r>
        <w:rPr>
          <w:rFonts w:ascii="Arial" w:cs="Arial" w:eastAsia="Arial" w:hAnsi="Arial"/>
          <w:sz w:val="24"/>
          <w:szCs w:val="24"/>
        </w:rPr>
        <w:t xml:space="preserve">The dataset exhibits a severe class imbalance: the Death class represents only 199 records (0.03%) against approximately 244,000 DAFW cases. Industry sector 49 (Transportation) and 62 (Healthcare) carry the highest safety risk scores. Physical injuries dominate incident types, and California, Texas, and New York lead in total incident volume. A LightGBM classifier with class_weight="balanced" was selected as the final model, achieving an accuracy of 82.7%, an MCC score of 0.74, and a Cohen’s Kappa of 0.74 — significantly outperforming the Logistic Regression baseline (71.7% accuracy, MCC 0.58) and Random Forest (77.0% accuracy, MCC 0.66). Critically, LightGBM was the only model to detect the extreme minority Death class with non-trivial performance (Precision: 0.35, Recall: 0.17, F1: 0.23).</w:t>
      </w:r>
    </w:p>
    <w:p>
      <w:pPr>
        <w:spacing w:after="60" w:before="60"/>
      </w:pPr>
      <w:r>
        <w:t xml:space="preserve"/>
      </w:r>
    </w:p>
    <w:p>
      <w:r>
        <w:br w:type="page"/>
      </w:r>
    </w:p>
    <w:p>
      <w:pPr>
        <w:pStyle w:val="Heading1"/>
      </w:pPr>
      <w:r>
        <w:rPr>
          <w:rFonts w:ascii="Arial" w:cs="Arial" w:eastAsia="Arial" w:hAnsi="Arial"/>
          <w:b/>
          <w:bCs/>
          <w:color w:val="1F4E79"/>
          <w:sz w:val="36"/>
          <w:szCs w:val="36"/>
        </w:rPr>
        <w:t xml:space="preserve">2. Overview of the Final Process</w:t>
      </w:r>
    </w:p>
    <w:p>
      <w:pPr>
        <w:spacing w:after="80" w:before="80"/>
        <w:jc w:val="both"/>
      </w:pPr>
      <w:r>
        <w:rPr>
          <w:rFonts w:ascii="Arial" w:cs="Arial" w:eastAsia="Arial" w:hAnsi="Arial"/>
          <w:sz w:val="24"/>
          <w:szCs w:val="24"/>
        </w:rPr>
        <w:t xml:space="preserve">This project followed a structured end-to-end data science methodology, progressing through five major phases:</w:t>
      </w:r>
    </w:p>
    <w:p>
      <w:pPr>
        <w:spacing w:after="60" w:before="60"/>
      </w:pPr>
      <w:r>
        <w:t xml:space="preserve"/>
      </w:r>
    </w:p>
    <w:p>
      <w:pPr>
        <w:spacing w:after="80" w:before="80"/>
        <w:jc w:val="both"/>
      </w:pPr>
      <w:r>
        <w:rPr>
          <w:rFonts w:ascii="Arial" w:cs="Arial" w:eastAsia="Arial" w:hAnsi="Arial"/>
          <w:b/>
          <w:bCs/>
          <w:sz w:val="24"/>
          <w:szCs w:val="24"/>
        </w:rPr>
        <w:t xml:space="preserve">Phase 1 — Data Ingestion and Preprocessing: </w:t>
      </w:r>
      <w:r>
        <w:rPr>
          <w:rFonts w:ascii="Arial" w:cs="Arial" w:eastAsia="Arial" w:hAnsi="Arial"/>
          <w:sz w:val="24"/>
          <w:szCs w:val="24"/>
        </w:rPr>
        <w:t xml:space="preserve">The raw OSHA ITA CSV file was loaded, identifier columns were dropped, missing values were treated using domain-aware strategies (NAICS code mapping, mode imputation, placeholder labeling), duplicates were removed, and data types were corrected. Extreme outliers in employee counts and hours worked were capped at the 99th percentile.</w:t>
      </w:r>
    </w:p>
    <w:p>
      <w:pPr>
        <w:spacing w:after="60" w:before="60"/>
      </w:pPr>
      <w:r>
        <w:t xml:space="preserve"/>
      </w:r>
    </w:p>
    <w:p>
      <w:pPr>
        <w:spacing w:after="80" w:before="80"/>
        <w:jc w:val="both"/>
      </w:pPr>
      <w:r>
        <w:rPr>
          <w:rFonts w:ascii="Arial" w:cs="Arial" w:eastAsia="Arial" w:hAnsi="Arial"/>
          <w:b/>
          <w:bCs/>
          <w:sz w:val="24"/>
          <w:szCs w:val="24"/>
        </w:rPr>
        <w:t xml:space="preserve">Phase 2 — Exploratory Data Analysis: </w:t>
      </w:r>
      <w:r>
        <w:rPr>
          <w:rFonts w:ascii="Arial" w:cs="Arial" w:eastAsia="Arial" w:hAnsi="Arial"/>
          <w:sz w:val="24"/>
          <w:szCs w:val="24"/>
        </w:rPr>
        <w:t xml:space="preserve">Comprehensive univariate, bivariate, and multivariate analyses were conducted. Target variable class imbalance was quantified, numerical distributions were assessed for skewness, and categorical relationships with the target were visualized. A custom safety risk score was derived to identify the most hazardous industry sectors. A correlation heatmap revealed strong collinearity between workforce size and total hours worked.</w:t>
      </w:r>
    </w:p>
    <w:p>
      <w:pPr>
        <w:spacing w:after="60" w:before="60"/>
      </w:pPr>
      <w:r>
        <w:t xml:space="preserve"/>
      </w:r>
    </w:p>
    <w:p>
      <w:pPr>
        <w:spacing w:after="80" w:before="80"/>
        <w:jc w:val="both"/>
      </w:pPr>
      <w:r>
        <w:rPr>
          <w:rFonts w:ascii="Arial" w:cs="Arial" w:eastAsia="Arial" w:hAnsi="Arial"/>
          <w:b/>
          <w:bCs/>
          <w:sz w:val="24"/>
          <w:szCs w:val="24"/>
        </w:rPr>
        <w:t xml:space="preserve">Phase 3 — Feature Engineering: </w:t>
      </w:r>
      <w:r>
        <w:rPr>
          <w:rFonts w:ascii="Arial" w:cs="Arial" w:eastAsia="Arial" w:hAnsi="Arial"/>
          <w:sz w:val="24"/>
          <w:szCs w:val="24"/>
        </w:rPr>
        <w:t xml:space="preserve">Nine new structured features were derived (work shift, season, industry sector, weekend flag, fatigue proxy). Seven narrative text columns were combined and processed through TF-IDF vectorization (500 features). Categorical encoding used frequency encoding for high-cardinality fields, one-hot encoding for low-cardinality fields, and geospatial encoding for ZIP codes. Log transformations were applied to right-skewed variables. dafw_num_away and djtr_num_tr were dropped post-encoding as they are consequence variables directly derived from the outcome, not independent predictors.</w:t>
      </w:r>
    </w:p>
    <w:p>
      <w:pPr>
        <w:spacing w:after="60" w:before="60"/>
      </w:pPr>
      <w:r>
        <w:t xml:space="preserve"/>
      </w:r>
    </w:p>
    <w:p>
      <w:pPr>
        <w:spacing w:after="80" w:before="80"/>
        <w:jc w:val="both"/>
      </w:pPr>
      <w:r>
        <w:rPr>
          <w:rFonts w:ascii="Arial" w:cs="Arial" w:eastAsia="Arial" w:hAnsi="Arial"/>
          <w:b/>
          <w:bCs/>
          <w:sz w:val="24"/>
          <w:szCs w:val="24"/>
        </w:rPr>
        <w:t xml:space="preserve">Phase 4 — Modeling and Evaluation: </w:t>
      </w:r>
      <w:r>
        <w:rPr>
          <w:rFonts w:ascii="Arial" w:cs="Arial" w:eastAsia="Arial" w:hAnsi="Arial"/>
          <w:sz w:val="24"/>
          <w:szCs w:val="24"/>
        </w:rPr>
        <w:t xml:space="preserve">Three increasingly powerful classifiers were trained: Logistic Regression (baseline), Random Forest with class weighting, and gradient boosting models (XGBoost and LightGBM). Models were evaluated using accuracy, Cohen’s Kappa, Matthews Correlation Coefficient (MCC), ROC-AUC, and per-class precision/recall/F1. LightGBM with class_weight="balanced" was selected as the final model based on its superior balance of overall performance and minority class detection.</w:t>
      </w:r>
    </w:p>
    <w:p>
      <w:pPr>
        <w:spacing w:after="60" w:before="60"/>
      </w:pPr>
      <w:r>
        <w:t xml:space="preserve"/>
      </w:r>
    </w:p>
    <w:p>
      <w:pPr>
        <w:spacing w:after="80" w:before="80"/>
        <w:jc w:val="both"/>
      </w:pPr>
      <w:r>
        <w:rPr>
          <w:rFonts w:ascii="Arial" w:cs="Arial" w:eastAsia="Arial" w:hAnsi="Arial"/>
          <w:b/>
          <w:bCs/>
          <w:sz w:val="24"/>
          <w:szCs w:val="24"/>
        </w:rPr>
        <w:t xml:space="preserve">Phase 5 — Hazardous Industry Analysis: </w:t>
      </w:r>
      <w:r>
        <w:rPr>
          <w:rFonts w:ascii="Arial" w:cs="Arial" w:eastAsia="Arial" w:hAnsi="Arial"/>
          <w:sz w:val="24"/>
          <w:szCs w:val="24"/>
        </w:rPr>
        <w:t xml:space="preserve">An industry-level safety risk analysis was conducted using a composite Safety Risk Score (total incidents × average severity). Industry sectors 49 (Transportation) and 62 (Healthcare) emerged as the highest-risk sectors. Monthly trend analysis revealed seasonal peaks in mid-year months.</w:t>
      </w:r>
    </w:p>
    <w:p>
      <w:pPr>
        <w:spacing w:after="60" w:before="60"/>
      </w:pPr>
      <w:r>
        <w:t xml:space="preserve"/>
      </w:r>
    </w:p>
    <w:p>
      <w:r>
        <w:br w:type="page"/>
      </w:r>
    </w:p>
    <w:p>
      <w:pPr>
        <w:pStyle w:val="Heading1"/>
      </w:pPr>
      <w:r>
        <w:rPr>
          <w:rFonts w:ascii="Arial" w:cs="Arial" w:eastAsia="Arial" w:hAnsi="Arial"/>
          <w:b/>
          <w:bCs/>
          <w:color w:val="1F4E79"/>
          <w:sz w:val="36"/>
          <w:szCs w:val="36"/>
        </w:rPr>
        <w:t xml:space="preserve">3. Step-by-Step Walkthrough of the Solution</w:t>
      </w:r>
    </w:p>
    <w:p>
      <w:pPr>
        <w:pStyle w:val="Heading2"/>
      </w:pPr>
      <w:r>
        <w:rPr>
          <w:rFonts w:ascii="Arial" w:cs="Arial" w:eastAsia="Arial" w:hAnsi="Arial"/>
          <w:b/>
          <w:bCs/>
          <w:color w:val="2E75B6"/>
          <w:sz w:val="28"/>
          <w:szCs w:val="28"/>
        </w:rPr>
        <w:t xml:space="preserve">3.1 Data Loading and Initial Assessment</w:t>
      </w:r>
    </w:p>
    <w:p>
      <w:pPr>
        <w:spacing w:after="80" w:before="80"/>
        <w:jc w:val="both"/>
      </w:pPr>
      <w:r>
        <w:rPr>
          <w:rFonts w:ascii="Arial" w:cs="Arial" w:eastAsia="Arial" w:hAnsi="Arial"/>
          <w:sz w:val="24"/>
          <w:szCs w:val="24"/>
        </w:rPr>
        <w:t xml:space="preserve">The OSHA ITA CSV file was loaded into a Pandas DataFrame. Initial inspection revealed 686,806 records across 39 columns including structured fields, numeric codes, datetime columns, and 7 free-text narrative columns. Five administrative identifier columns (id, establishment_id, ein, case_number, created_timestamp) were immediately dropped as they carry no predictive information.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50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Raw Records</w:t>
            </w:r>
          </w:p>
        </w:tc>
        <w:tc>
          <w:tcPr>
            <w:tcW w:type="dxa" w:w="436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686,806</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Columns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w:t>
            </w:r>
          </w:p>
        </w:tc>
      </w:tr>
      <w:tr>
        <w:tc>
          <w:tcPr>
            <w:tcW w:type="dxa" w:w="50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Dropped Identifier Columns</w:t>
            </w:r>
          </w:p>
        </w:tc>
        <w:tc>
          <w:tcPr>
            <w:tcW w:type="dxa" w:w="436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5</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Working Columns (post-drop)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w:t>
            </w:r>
          </w:p>
        </w:tc>
      </w:tr>
    </w:tbl>
    <w:p>
      <w:pPr>
        <w:spacing w:after="60" w:before="60"/>
      </w:pPr>
      <w:r>
        <w:t xml:space="preserve"/>
      </w:r>
    </w:p>
    <w:p>
      <w:pPr>
        <w:pStyle w:val="Heading2"/>
      </w:pPr>
      <w:r>
        <w:rPr>
          <w:rFonts w:ascii="Arial" w:cs="Arial" w:eastAsia="Arial" w:hAnsi="Arial"/>
          <w:b/>
          <w:bCs/>
          <w:color w:val="2E75B6"/>
          <w:sz w:val="28"/>
          <w:szCs w:val="28"/>
        </w:rPr>
        <w:t xml:space="preserve">3.2 Missing Value Treatment</w:t>
      </w:r>
    </w:p>
    <w:p>
      <w:pPr>
        <w:spacing w:after="80" w:before="80"/>
        <w:jc w:val="both"/>
      </w:pPr>
      <w:r>
        <w:rPr>
          <w:rFonts w:ascii="Arial" w:cs="Arial" w:eastAsia="Arial" w:hAnsi="Arial"/>
          <w:sz w:val="24"/>
          <w:szCs w:val="24"/>
        </w:rPr>
        <w:t xml:space="preserve">Missing value analysis revealed that date_of_death was 99.97% empty and was dropped. The remaining missing values were treated contextually: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Missing %</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Treatment Applied</w:t>
            </w:r>
          </w:p>
        </w:tc>
      </w:tr>
      <w:tr>
        <w:tc>
          <w:tcPr>
            <w:tcW w:type="dxa" w:w="25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date_of_death</w:t>
            </w:r>
          </w:p>
        </w:tc>
        <w:tc>
          <w:tcPr>
            <w:tcW w:type="dxa" w:w="12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99.97%</w:t>
            </w:r>
          </w:p>
        </w:tc>
        <w:tc>
          <w:tcPr>
            <w:tcW w:type="dxa" w:w="566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Column dropped entirely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industry_description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7.64%</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Imputed via NAICS-to-industry lookup map; residual rows dropped</w:t>
            </w:r>
          </w:p>
        </w:tc>
      </w:tr>
      <w:tr>
        <w:tc>
          <w:tcPr>
            <w:tcW w:type="dxa" w:w="25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company_name</w:t>
            </w:r>
          </w:p>
        </w:tc>
        <w:tc>
          <w:tcPr>
            <w:tcW w:type="dxa" w:w="12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5.25%</w:t>
            </w:r>
          </w:p>
        </w:tc>
        <w:tc>
          <w:tcPr>
            <w:tcW w:type="dxa" w:w="566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Filled with placeholder "Unknown Company"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NEW_NAR_OBJECT_SUBSTANCE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0.98%</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Filled with "Unknown"</w:t>
            </w:r>
          </w:p>
        </w:tc>
      </w:tr>
      <w:tr>
        <w:tc>
          <w:tcPr>
            <w:tcW w:type="dxa" w:w="25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time_of_incident / time_started_work</w:t>
            </w:r>
          </w:p>
        </w:tc>
        <w:tc>
          <w:tcPr>
            <w:tcW w:type="dxa" w:w="12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9.5% / 10.98%</w:t>
            </w:r>
          </w:p>
        </w:tc>
        <w:tc>
          <w:tcPr>
            <w:tcW w:type="dxa" w:w="566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Parsed to datetime; hours extracted; missing hours filled with median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establishment_type, job_description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&lt;0.15%</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Filled with mode / "Unknown"</w:t>
            </w:r>
          </w:p>
        </w:tc>
      </w:tr>
      <w:tr>
        <w:tc>
          <w:tcPr>
            <w:tcW w:type="dxa" w:w="25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soc_code / soc_description / soc_probability</w:t>
            </w:r>
          </w:p>
        </w:tc>
        <w:tc>
          <w:tcPr>
            <w:tcW w:type="dxa" w:w="12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&lt;0.01%</w:t>
            </w:r>
          </w:p>
        </w:tc>
        <w:tc>
          <w:tcPr>
            <w:tcW w:type="dxa" w:w="566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Rows dropped (negligible count)</w:t>
            </w:r>
          </w:p>
        </w:tc>
      </w:tr>
    </w:tbl>
    <w:p>
      <w:pPr>
        <w:spacing w:after="60" w:before="60"/>
      </w:pPr>
      <w:r>
        <w:t xml:space="preserve"/>
      </w:r>
    </w:p>
    <w:p>
      <w:pPr>
        <w:spacing w:after="80" w:before="80"/>
        <w:jc w:val="both"/>
      </w:pPr>
      <w:r>
        <w:rPr>
          <w:rFonts w:ascii="Arial" w:cs="Arial" w:eastAsia="Arial" w:hAnsi="Arial"/>
          <w:sz w:val="24"/>
          <w:szCs w:val="24"/>
        </w:rPr>
        <w:t xml:space="preserve">After all treatments, total null count = 0. A constant column year_filing_for (all values = 2024) was also removed. 2,075 duplicate rows were identified and dropped, resulting in 683,962 clean records.</w:t>
      </w:r>
    </w:p>
    <w:p>
      <w:pPr>
        <w:spacing w:after="60" w:before="60"/>
      </w:pPr>
      <w:r>
        <w:t xml:space="preserve"/>
      </w:r>
    </w:p>
    <w:p>
      <w:pPr>
        <w:pStyle w:val="Heading2"/>
      </w:pPr>
      <w:r>
        <w:rPr>
          <w:rFonts w:ascii="Arial" w:cs="Arial" w:eastAsia="Arial" w:hAnsi="Arial"/>
          <w:b/>
          <w:bCs/>
          <w:color w:val="2E75B6"/>
          <w:sz w:val="28"/>
          <w:szCs w:val="28"/>
        </w:rPr>
        <w:t xml:space="preserve">3.3 Data Type Correction and Outlier Capping</w:t>
      </w:r>
    </w:p>
    <w:p>
      <w:pPr>
        <w:spacing w:after="80" w:before="80"/>
        <w:jc w:val="both"/>
      </w:pPr>
      <w:r>
        <w:rPr>
          <w:rFonts w:ascii="Arial" w:cs="Arial" w:eastAsia="Arial" w:hAnsi="Arial"/>
          <w:sz w:val="24"/>
          <w:szCs w:val="24"/>
        </w:rPr>
        <w:t xml:space="preserve">Several variables stored as numeric integers actually represented categorical codes. These were converted to object (categorical) dtype to prevent incorrect ordinal interpretation: zip_code, naics_code, naics_year, soc_reviewed, incident_outcome, type_of_incident, time_unknown, incident_year, incident_month, establishment_type.</w:t>
      </w:r>
    </w:p>
    <w:p>
      <w:pPr>
        <w:spacing w:after="60" w:before="60"/>
      </w:pPr>
      <w:r>
        <w:t xml:space="preserve"/>
      </w:r>
    </w:p>
    <w:p>
      <w:pPr>
        <w:spacing w:after="80" w:before="80"/>
        <w:jc w:val="both"/>
      </w:pPr>
      <w:r>
        <w:rPr>
          <w:rFonts w:ascii="Arial" w:cs="Arial" w:eastAsia="Arial" w:hAnsi="Arial"/>
          <w:sz w:val="24"/>
          <w:szCs w:val="24"/>
        </w:rPr>
        <w:t xml:space="preserve">Two numeric variables showed extreme right-skewed outliers attributable to large multi-site employers:</w:t>
      </w:r>
    </w:p>
    <w:p>
      <w:pPr>
        <w:pStyle w:val="ListParagraph"/>
        <w:numPr>
          <w:ilvl w:val="0"/>
          <w:numId w:val="2"/>
        </w:numPr>
        <w:spacing w:after="40" w:before="40"/>
      </w:pPr>
      <w:r>
        <w:rPr>
          <w:rFonts w:ascii="Arial" w:cs="Arial" w:eastAsia="Arial" w:hAnsi="Arial"/>
          <w:sz w:val="24"/>
          <w:szCs w:val="24"/>
        </w:rPr>
        <w:t xml:space="preserve">annual_average_employees: capped at the 99th percentile</w:t>
      </w:r>
    </w:p>
    <w:p>
      <w:pPr>
        <w:pStyle w:val="ListParagraph"/>
        <w:numPr>
          <w:ilvl w:val="0"/>
          <w:numId w:val="2"/>
        </w:numPr>
        <w:spacing w:after="40" w:before="40"/>
      </w:pPr>
      <w:r>
        <w:rPr>
          <w:rFonts w:ascii="Arial" w:cs="Arial" w:eastAsia="Arial" w:hAnsi="Arial"/>
          <w:sz w:val="24"/>
          <w:szCs w:val="24"/>
        </w:rPr>
        <w:t xml:space="preserve">total_hours_worked: capped at the 99th percentile</w:t>
      </w:r>
    </w:p>
    <w:p>
      <w:pPr>
        <w:spacing w:after="60" w:before="60"/>
      </w:pPr>
      <w:r>
        <w:t xml:space="preserve"/>
      </w:r>
    </w:p>
    <w:p>
      <w:pPr>
        <w:pStyle w:val="Heading2"/>
      </w:pPr>
      <w:r>
        <w:rPr>
          <w:rFonts w:ascii="Arial" w:cs="Arial" w:eastAsia="Arial" w:hAnsi="Arial"/>
          <w:b/>
          <w:bCs/>
          <w:color w:val="2E75B6"/>
          <w:sz w:val="28"/>
          <w:szCs w:val="28"/>
        </w:rPr>
        <w:t xml:space="preserve">3.4 Feature Engineering</w:t>
      </w:r>
    </w:p>
    <w:p>
      <w:pPr>
        <w:spacing w:after="80" w:before="80"/>
        <w:jc w:val="both"/>
      </w:pPr>
      <w:r>
        <w:rPr>
          <w:rFonts w:ascii="Arial" w:cs="Arial" w:eastAsia="Arial" w:hAnsi="Arial"/>
          <w:sz w:val="24"/>
          <w:szCs w:val="24"/>
        </w:rPr>
        <w:t xml:space="preserve">Nine new features were derived to enrich the model with temporal, operational, and contextual signals: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incident_day</w:t>
            </w:r>
          </w:p>
        </w:tc>
        <w:tc>
          <w:tcPr>
            <w:tcW w:type="dxa" w:w="18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date_of_incident</w:t>
            </w:r>
          </w:p>
        </w:tc>
        <w:tc>
          <w:tcPr>
            <w:tcW w:type="dxa" w:w="576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Day of week (0=Mon to 6=Sun) — captures day-of-week risk patterns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shift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incident_hour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 shift: Night/Morning/Afternoon/Evening (bins: 0-6/6-12/12-18/18-24h)</w:t>
            </w:r>
          </w:p>
        </w:tc>
      </w:tr>
      <w:tr>
        <w:tc>
          <w:tcPr>
            <w:tcW w:type="dxa" w:w="18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size_category</w:t>
            </w:r>
          </w:p>
        </w:tc>
        <w:tc>
          <w:tcPr>
            <w:tcW w:type="dxa" w:w="18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size</w:t>
            </w:r>
          </w:p>
        </w:tc>
        <w:tc>
          <w:tcPr>
            <w:tcW w:type="dxa" w:w="576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Small / Medium / Large labels for establishment size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hours_after_start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incident_hour, start_hour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Hours since shift start — proxy for worker fatigue</w:t>
            </w:r>
          </w:p>
        </w:tc>
      </w:tr>
      <w:tr>
        <w:tc>
          <w:tcPr>
            <w:tcW w:type="dxa" w:w="18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industry_sector</w:t>
            </w:r>
          </w:p>
        </w:tc>
        <w:tc>
          <w:tcPr>
            <w:tcW w:type="dxa" w:w="18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naics_code</w:t>
            </w:r>
          </w:p>
        </w:tc>
        <w:tc>
          <w:tcPr>
            <w:tcW w:type="dxa" w:w="576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First 2 NAICS digits — reduces cardinality to broad sector level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is_weekend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date_of_incident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 1 = Saturday or Sunday</w:t>
            </w:r>
          </w:p>
        </w:tc>
      </w:tr>
      <w:tr>
        <w:tc>
          <w:tcPr>
            <w:tcW w:type="dxa" w:w="18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working_hour</w:t>
            </w:r>
          </w:p>
        </w:tc>
        <w:tc>
          <w:tcPr>
            <w:tcW w:type="dxa" w:w="18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incident_hour</w:t>
            </w:r>
          </w:p>
        </w:tc>
        <w:tc>
          <w:tcPr>
            <w:tcW w:type="dxa" w:w="576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Binary: 1 if 6 AM–6 PM (standard hours)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incident_month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Winter/Spring/Summer/Fall grouping</w:t>
            </w:r>
          </w:p>
        </w:tc>
      </w:tr>
      <w:tr>
        <w:tc>
          <w:tcPr>
            <w:tcW w:type="dxa" w:w="18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soc_group</w:t>
            </w:r>
          </w:p>
        </w:tc>
        <w:tc>
          <w:tcPr>
            <w:tcW w:type="dxa" w:w="18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soc_code</w:t>
            </w:r>
          </w:p>
        </w:tc>
        <w:tc>
          <w:tcPr>
            <w:tcW w:type="dxa" w:w="576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First 2 chars of SOC — occupation family grouping</w:t>
            </w:r>
          </w:p>
        </w:tc>
      </w:tr>
    </w:tbl>
    <w:p>
      <w:pPr>
        <w:spacing w:after="60" w:before="60"/>
      </w:pPr>
      <w:r>
        <w:t xml:space="preserve"/>
      </w:r>
    </w:p>
    <w:p>
      <w:pPr>
        <w:spacing w:after="80" w:before="80"/>
        <w:jc w:val="both"/>
      </w:pPr>
      <w:r>
        <w:rPr>
          <w:rFonts w:ascii="Arial" w:cs="Arial" w:eastAsia="Arial" w:hAnsi="Arial"/>
          <w:b/>
          <w:bCs/>
          <w:sz w:val="24"/>
          <w:szCs w:val="24"/>
        </w:rPr>
        <w:t xml:space="preserve">Severity Score (EDA Feature): </w:t>
      </w:r>
      <w:r>
        <w:rPr>
          <w:rFonts w:ascii="Arial" w:cs="Arial" w:eastAsia="Arial" w:hAnsi="Arial"/>
          <w:sz w:val="24"/>
          <w:szCs w:val="24"/>
        </w:rPr>
        <w:t xml:space="preserve">An analytical severity_score = dafw_num_away + djtr_num_tr was computed to support the hazardous industry analysis. This feature was not used as a model input since it is directly derived from outcome-related variables.</w:t>
      </w:r>
    </w:p>
    <w:p>
      <w:pPr>
        <w:spacing w:after="60" w:before="60"/>
      </w:pPr>
      <w:r>
        <w:t xml:space="preserve"/>
      </w:r>
    </w:p>
    <w:p>
      <w:pPr>
        <w:pStyle w:val="Heading2"/>
      </w:pPr>
      <w:r>
        <w:rPr>
          <w:rFonts w:ascii="Arial" w:cs="Arial" w:eastAsia="Arial" w:hAnsi="Arial"/>
          <w:b/>
          <w:bCs/>
          <w:color w:val="2E75B6"/>
          <w:sz w:val="28"/>
          <w:szCs w:val="28"/>
        </w:rPr>
        <w:t xml:space="preserve">3.5 Encoding, Transformation, and TF-IDF</w:t>
      </w:r>
    </w:p>
    <w:p>
      <w:pPr>
        <w:spacing w:after="80" w:before="80"/>
        <w:jc w:val="both"/>
      </w:pPr>
      <w:r>
        <w:rPr>
          <w:rFonts w:ascii="Arial" w:cs="Arial" w:eastAsia="Arial" w:hAnsi="Arial"/>
          <w:sz w:val="24"/>
          <w:szCs w:val="24"/>
        </w:rPr>
        <w:t xml:space="preserve">The feature engineering phase produced a richly structured dataset that required several encoding steps: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Strategy</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Applied To</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Frequency Encoding</w:t>
            </w:r>
          </w:p>
        </w:tc>
        <w:tc>
          <w:tcPr>
            <w:tcW w:type="dxa" w:w="30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industry_description, soc_description, company_name, soc_code</w:t>
            </w:r>
          </w:p>
        </w:tc>
        <w:tc>
          <w:tcPr>
            <w:tcW w:type="dxa" w:w="416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Replaces categories with occurrence frequency; avoids dummy explosion for high-cardinality fields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One-Hot Encoding (drop_first)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shift, size_category, season, establishment_type, soc_reviewed, time_unknown, industry_sector, type_of_incident, naics_year, soc_group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66 sparse boolean columns for low-cardinality categorical fields</w:t>
            </w:r>
          </w:p>
        </w:tc>
      </w:tr>
      <w:tr>
        <w:tc>
          <w:tcPr>
            <w:tcW w:type="dxa" w:w="22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Geospatial Encoding</w:t>
            </w:r>
          </w:p>
        </w:tc>
        <w:tc>
          <w:tcPr>
            <w:tcW w:type="dxa" w:w="30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zip_code, state</w:t>
            </w:r>
          </w:p>
        </w:tc>
        <w:tc>
          <w:tcPr>
            <w:tcW w:type="dxa" w:w="416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Merged with uszips.csv to extract latitude/longitude; zip_code and state dropped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Label Encoding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incident_outcome (target)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Multi-class target: 0=DAFW, 1=Death, 2=Job Transfer, 3=Other Case</w:t>
            </w:r>
          </w:p>
        </w:tc>
      </w:tr>
      <w:tr>
        <w:tc>
          <w:tcPr>
            <w:tcW w:type="dxa" w:w="22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TF-IDF Vectorization</w:t>
            </w:r>
          </w:p>
        </w:tc>
        <w:tc>
          <w:tcPr>
            <w:tcW w:type="dxa" w:w="30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7 text narrative columns combined</w:t>
            </w:r>
          </w:p>
        </w:tc>
        <w:tc>
          <w:tcPr>
            <w:tcW w:type="dxa" w:w="416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max_features=500, min_df=5, max_df=0.90; English stopwords removed; yields 500 keyword features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Transformation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annual_average_employees, total_hours_worked, soc_probability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log1p applied to reduce right-skewness (skew values: 3.76, 4.56, 1.78 respectively)</w:t>
            </w:r>
          </w:p>
        </w:tc>
      </w:tr>
      <w:tr>
        <w:tc>
          <w:tcPr>
            <w:tcW w:type="dxa" w:w="22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Column Drop</w:t>
            </w:r>
          </w:p>
        </w:tc>
        <w:tc>
          <w:tcPr>
            <w:tcW w:type="dxa" w:w="30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dafw_num_away, djtr_num_tr</w:t>
            </w:r>
          </w:p>
        </w:tc>
        <w:tc>
          <w:tcPr>
            <w:tcW w:type="dxa" w:w="416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Consequence variables — directly encode the outcome, causing data leakage</w:t>
            </w:r>
          </w:p>
        </w:tc>
      </w:tr>
    </w:tbl>
    <w:p>
      <w:pPr>
        <w:spacing w:after="60" w:before="60"/>
      </w:pPr>
      <w:r>
        <w:t xml:space="preserve"/>
      </w:r>
    </w:p>
    <w:p>
      <w:pPr>
        <w:spacing w:after="80" w:before="80"/>
        <w:jc w:val="both"/>
      </w:pPr>
      <w:r>
        <w:rPr>
          <w:rFonts w:ascii="Arial" w:cs="Arial" w:eastAsia="Arial" w:hAnsi="Arial"/>
          <w:sz w:val="24"/>
          <w:szCs w:val="24"/>
        </w:rPr>
        <w:t xml:space="preserve">The final feature matrix prior to train-test split comprised 586 features across 683,962 records (2.7 GB memory, sparse representation).</w:t>
      </w:r>
    </w:p>
    <w:p>
      <w:pPr>
        <w:spacing w:after="60" w:before="60"/>
      </w:pPr>
      <w:r>
        <w:t xml:space="preserve"/>
      </w:r>
    </w:p>
    <w:p>
      <w:pPr>
        <w:pStyle w:val="Heading2"/>
      </w:pPr>
      <w:r>
        <w:rPr>
          <w:rFonts w:ascii="Arial" w:cs="Arial" w:eastAsia="Arial" w:hAnsi="Arial"/>
          <w:b/>
          <w:bCs/>
          <w:color w:val="2E75B6"/>
          <w:sz w:val="28"/>
          <w:szCs w:val="28"/>
        </w:rPr>
        <w:t xml:space="preserve">3.6 Train-Test Split and Scaling</w:t>
      </w:r>
    </w:p>
    <w:p>
      <w:pPr>
        <w:spacing w:after="80" w:before="80"/>
        <w:jc w:val="both"/>
      </w:pPr>
      <w:r>
        <w:rPr>
          <w:rFonts w:ascii="Arial" w:cs="Arial" w:eastAsia="Arial" w:hAnsi="Arial"/>
          <w:sz w:val="24"/>
          <w:szCs w:val="24"/>
        </w:rPr>
        <w:t xml:space="preserve">An 80/20 stratified train-test split was applied to preserve class proportions across the split: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Split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Records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Features</w:t>
            </w:r>
          </w:p>
        </w:tc>
      </w:tr>
      <w:tr>
        <w:tc>
          <w:tcPr>
            <w:tcW w:type="dxa" w:w="312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Training Set (X_train)</w:t>
            </w:r>
          </w:p>
        </w:tc>
        <w:tc>
          <w:tcPr>
            <w:tcW w:type="dxa" w:w="312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547,169</w:t>
            </w:r>
          </w:p>
        </w:tc>
        <w:tc>
          <w:tcPr>
            <w:tcW w:type="dxa" w:w="312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585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Set (X_test)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136,793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585</w:t>
            </w:r>
          </w:p>
        </w:tc>
      </w:tr>
    </w:tbl>
    <w:p>
      <w:pPr>
        <w:spacing w:after="60" w:before="60"/>
      </w:pPr>
      <w:r>
        <w:t xml:space="preserve"/>
      </w:r>
    </w:p>
    <w:p>
      <w:pPr>
        <w:spacing w:after="80" w:before="80"/>
        <w:jc w:val="both"/>
      </w:pPr>
      <w:r>
        <w:rPr>
          <w:rFonts w:ascii="Arial" w:cs="Arial" w:eastAsia="Arial" w:hAnsi="Arial"/>
          <w:sz w:val="24"/>
          <w:szCs w:val="24"/>
        </w:rPr>
        <w:t xml:space="preserve">StandardScaler was fitted exclusively on X_train and applied to both splits to prevent data leakage. Scaled features were used for Logistic Regression; unscaled features were used for tree-based models (Random Forest, XGBoost, LightGBM) which do not require scaling.</w:t>
      </w:r>
    </w:p>
    <w:p>
      <w:pPr>
        <w:spacing w:after="60" w:before="60"/>
      </w:pPr>
      <w:r>
        <w:t xml:space="preserve"/>
      </w:r>
    </w:p>
    <w:p>
      <w:pPr>
        <w:pStyle w:val="Heading2"/>
      </w:pPr>
      <w:r>
        <w:rPr>
          <w:rFonts w:ascii="Arial" w:cs="Arial" w:eastAsia="Arial" w:hAnsi="Arial"/>
          <w:b/>
          <w:bCs/>
          <w:color w:val="2E75B6"/>
          <w:sz w:val="28"/>
          <w:szCs w:val="28"/>
        </w:rPr>
        <w:t xml:space="preserve">3.7 Model Training Progression</w:t>
      </w:r>
    </w:p>
    <w:p>
      <w:pPr>
        <w:spacing w:after="80" w:before="80"/>
        <w:jc w:val="both"/>
      </w:pPr>
      <w:r>
        <w:rPr>
          <w:rFonts w:ascii="Arial" w:cs="Arial" w:eastAsia="Arial" w:hAnsi="Arial"/>
          <w:sz w:val="24"/>
          <w:szCs w:val="24"/>
        </w:rPr>
        <w:t xml:space="preserve">Three model families were evaluated in progressive complexity:</w:t>
      </w:r>
    </w:p>
    <w:p>
      <w:pPr>
        <w:spacing w:after="60" w:before="60"/>
      </w:pPr>
      <w:r>
        <w:t xml:space="preserve"/>
      </w:r>
    </w:p>
    <w:p>
      <w:pPr>
        <w:spacing w:after="80" w:before="80"/>
        <w:jc w:val="both"/>
      </w:pPr>
      <w:r>
        <w:rPr>
          <w:rFonts w:ascii="Arial" w:cs="Arial" w:eastAsia="Arial" w:hAnsi="Arial"/>
          <w:b/>
          <w:bCs/>
          <w:sz w:val="24"/>
          <w:szCs w:val="24"/>
        </w:rPr>
        <w:t xml:space="preserve">Step 1 — Logistic Regression (Baseline): </w:t>
      </w:r>
      <w:r>
        <w:rPr>
          <w:rFonts w:ascii="Arial" w:cs="Arial" w:eastAsia="Arial" w:hAnsi="Arial"/>
          <w:sz w:val="24"/>
          <w:szCs w:val="24"/>
        </w:rPr>
        <w:t xml:space="preserve">A simple linear classifier with class_weight="balanced" was trained as a performance floor. It achieved 71.7% accuracy and MCC 0.58, but struggled severely with the Death minority class (F1 = 0.07). This established the need for non-linear, tree-based approaches.</w:t>
      </w:r>
    </w:p>
    <w:p>
      <w:pPr>
        <w:spacing w:after="60" w:before="60"/>
      </w:pPr>
      <w:r>
        <w:t xml:space="preserve"/>
      </w:r>
    </w:p>
    <w:p>
      <w:pPr>
        <w:spacing w:after="80" w:before="80"/>
        <w:jc w:val="both"/>
      </w:pPr>
      <w:r>
        <w:rPr>
          <w:rFonts w:ascii="Arial" w:cs="Arial" w:eastAsia="Arial" w:hAnsi="Arial"/>
          <w:b/>
          <w:bCs/>
          <w:sz w:val="24"/>
          <w:szCs w:val="24"/>
        </w:rPr>
        <w:t xml:space="preserve">Step 2 — Random Forest: </w:t>
      </w:r>
      <w:r>
        <w:rPr>
          <w:rFonts w:ascii="Arial" w:cs="Arial" w:eastAsia="Arial" w:hAnsi="Arial"/>
          <w:sz w:val="24"/>
          <w:szCs w:val="24"/>
        </w:rPr>
        <w:t xml:space="preserve">Multiple Random Forest variants were tested. The balanced_subsample variant (n_estimators=300, max_depth=12) achieved 77.0% accuracy and MCC 0.66. Custom class weight experiments (class 1 weight swept from 10 to 50) were conducted, but threshold tuning with corrected class mapping confirmed that balanced_subsample offered the best trade-off.</w:t>
      </w:r>
    </w:p>
    <w:p>
      <w:pPr>
        <w:spacing w:after="60" w:before="60"/>
      </w:pPr>
      <w:r>
        <w:t xml:space="preserve"/>
      </w:r>
    </w:p>
    <w:p>
      <w:pPr>
        <w:spacing w:after="80" w:before="80"/>
        <w:jc w:val="both"/>
      </w:pPr>
      <w:r>
        <w:rPr>
          <w:rFonts w:ascii="Arial" w:cs="Arial" w:eastAsia="Arial" w:hAnsi="Arial"/>
          <w:b/>
          <w:bCs/>
          <w:sz w:val="24"/>
          <w:szCs w:val="24"/>
        </w:rPr>
        <w:t xml:space="preserve">Step 3 — XGBoost: </w:t>
      </w:r>
      <w:r>
        <w:rPr>
          <w:rFonts w:ascii="Arial" w:cs="Arial" w:eastAsia="Arial" w:hAnsi="Arial"/>
          <w:sz w:val="24"/>
          <w:szCs w:val="24"/>
        </w:rPr>
        <w:t xml:space="preserve">XGBoost (n_estimators=400, max_depth=8, learning_rate=0.05) achieved 83.1% accuracy and MCC 0.746 — the highest raw accuracy. However, it completely failed to detect the Death class (F1=0.00 for class 1), which is a critical failure for the safety domain.</w:t>
      </w:r>
    </w:p>
    <w:p>
      <w:pPr>
        <w:spacing w:after="60" w:before="60"/>
      </w:pPr>
      <w:r>
        <w:t xml:space="preserve"/>
      </w:r>
    </w:p>
    <w:p>
      <w:pPr>
        <w:spacing w:after="80" w:before="80"/>
        <w:jc w:val="both"/>
      </w:pPr>
      <w:r>
        <w:rPr>
          <w:rFonts w:ascii="Arial" w:cs="Arial" w:eastAsia="Arial" w:hAnsi="Arial"/>
          <w:b/>
          <w:bCs/>
          <w:sz w:val="24"/>
          <w:szCs w:val="24"/>
        </w:rPr>
        <w:t xml:space="preserve">Step 4 — LightGBM (Final Model): </w:t>
      </w:r>
      <w:r>
        <w:rPr>
          <w:rFonts w:ascii="Arial" w:cs="Arial" w:eastAsia="Arial" w:hAnsi="Arial"/>
          <w:sz w:val="24"/>
          <w:szCs w:val="24"/>
        </w:rPr>
        <w:t xml:space="preserve">LightGBM (n_estimators=400, max_depth=8, learning_rate=0.05, class_weight="balanced") achieved 82.7% accuracy, MCC 0.742, and was the only model to detect the Death class with non-trivial performance (F1=0.23). It was selected as the final model.</w:t>
      </w:r>
    </w:p>
    <w:p>
      <w:pPr>
        <w:spacing w:after="60" w:before="60"/>
      </w:pPr>
      <w:r>
        <w:t xml:space="preserve"/>
      </w:r>
    </w:p>
    <w:p>
      <w:r>
        <w:br w:type="page"/>
      </w:r>
    </w:p>
    <w:p>
      <w:pPr>
        <w:pStyle w:val="Heading1"/>
      </w:pPr>
      <w:r>
        <w:rPr>
          <w:rFonts w:ascii="Arial" w:cs="Arial" w:eastAsia="Arial" w:hAnsi="Arial"/>
          <w:b/>
          <w:bCs/>
          <w:color w:val="1F4E79"/>
          <w:sz w:val="36"/>
          <w:szCs w:val="36"/>
        </w:rPr>
        <w:t xml:space="preserve">4. Model Evaluation</w:t>
      </w:r>
    </w:p>
    <w:p>
      <w:pPr>
        <w:pStyle w:val="Heading2"/>
      </w:pPr>
      <w:r>
        <w:rPr>
          <w:rFonts w:ascii="Arial" w:cs="Arial" w:eastAsia="Arial" w:hAnsi="Arial"/>
          <w:b/>
          <w:bCs/>
          <w:color w:val="2E75B6"/>
          <w:sz w:val="28"/>
          <w:szCs w:val="28"/>
        </w:rPr>
        <w:t xml:space="preserve">4.1 Final Model: LightGBM Classifier</w:t>
      </w:r>
    </w:p>
    <w:p>
      <w:pPr>
        <w:spacing w:after="80" w:before="80"/>
        <w:jc w:val="both"/>
      </w:pPr>
      <w:r>
        <w:rPr>
          <w:rFonts w:ascii="Arial" w:cs="Arial" w:eastAsia="Arial" w:hAnsi="Arial"/>
          <w:sz w:val="24"/>
          <w:szCs w:val="24"/>
        </w:rPr>
        <w:t xml:space="preserve">LightGBM (Light Gradient Boosting Machine) is a gradient boosting framework that uses a leaf-wise tree growth strategy rather than the conventional level-wise approach. It selects the leaf with the highest loss reduction for each split, enabling it to learn complex, non-linear feature interactions efficiently. Its histogram-based algorithm also makes it highly scalable to large datasets.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Hyperparameter</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n_estimators</w:t>
            </w:r>
          </w:p>
        </w:tc>
        <w:tc>
          <w:tcPr>
            <w:tcW w:type="dxa" w:w="14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400</w:t>
            </w:r>
          </w:p>
        </w:tc>
        <w:tc>
          <w:tcPr>
            <w:tcW w:type="dxa" w:w="576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Sufficient trees for convergence on 547K training samples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max_depth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Limits tree depth to control overfitting</w:t>
            </w:r>
          </w:p>
        </w:tc>
      </w:tr>
      <w:tr>
        <w:tc>
          <w:tcPr>
            <w:tcW w:type="dxa" w:w="22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learning_rate</w:t>
            </w:r>
          </w:p>
        </w:tc>
        <w:tc>
          <w:tcPr>
            <w:tcW w:type="dxa" w:w="14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0.05</w:t>
            </w:r>
          </w:p>
        </w:tc>
        <w:tc>
          <w:tcPr>
            <w:tcW w:type="dxa" w:w="576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Slower learning rate improves generalization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subsample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Row subsampling — reduces variance, prevents overfitting</w:t>
            </w:r>
          </w:p>
        </w:tc>
      </w:tr>
      <w:tr>
        <w:tc>
          <w:tcPr>
            <w:tcW w:type="dxa" w:w="22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colsample_bytree</w:t>
            </w:r>
          </w:p>
        </w:tc>
        <w:tc>
          <w:tcPr>
            <w:tcW w:type="dxa" w:w="14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0.8</w:t>
            </w:r>
          </w:p>
        </w:tc>
        <w:tc>
          <w:tcPr>
            <w:tcW w:type="dxa" w:w="576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Feature subsampling per tree — further reduces overfitting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class_weight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'balanced'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Automatically weights classes inversely proportional to frequency; critical for minority class detection</w:t>
            </w:r>
          </w:p>
        </w:tc>
      </w:tr>
    </w:tbl>
    <w:p>
      <w:pPr>
        <w:spacing w:after="60" w:before="60"/>
      </w:pPr>
      <w:r>
        <w:t xml:space="preserve"/>
      </w:r>
    </w:p>
    <w:p>
      <w:pPr>
        <w:pStyle w:val="Heading2"/>
      </w:pPr>
      <w:r>
        <w:rPr>
          <w:rFonts w:ascii="Arial" w:cs="Arial" w:eastAsia="Arial" w:hAnsi="Arial"/>
          <w:b/>
          <w:bCs/>
          <w:color w:val="2E75B6"/>
          <w:sz w:val="28"/>
          <w:szCs w:val="28"/>
        </w:rPr>
        <w:t xml:space="preserve">4.2 Evaluation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5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r>
      <w:tr>
        <w:tc>
          <w:tcPr>
            <w:tcW w:type="dxa" w:w="28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Overall Accuracy</w:t>
            </w:r>
          </w:p>
        </w:tc>
        <w:tc>
          <w:tcPr>
            <w:tcW w:type="dxa" w:w="15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82.7%</w:t>
            </w:r>
          </w:p>
        </w:tc>
        <w:tc>
          <w:tcPr>
            <w:tcW w:type="dxa" w:w="506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Proportion of correctly classified incidents across all classes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Cohen's Kappa Score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0.741</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agreement beyond chance (&gt;0.6 = substantial agreement)</w:t>
            </w:r>
          </w:p>
        </w:tc>
      </w:tr>
      <w:tr>
        <w:tc>
          <w:tcPr>
            <w:tcW w:type="dxa" w:w="28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Matthews Correlation Coefficient (MCC)</w:t>
            </w:r>
          </w:p>
        </w:tc>
        <w:tc>
          <w:tcPr>
            <w:tcW w:type="dxa" w:w="15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0.742</w:t>
            </w:r>
          </w:p>
        </w:tc>
        <w:tc>
          <w:tcPr>
            <w:tcW w:type="dxa" w:w="506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Balanced metric accounting for all four quadrants of the confusion matrix; robust to class imbalance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ROC-AUC (One-vs-Rest)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Multi-class AUC computed using OvR strategy; model discriminates well across classes</w:t>
            </w:r>
          </w:p>
        </w:tc>
      </w:tr>
      <w:tr>
        <w:tc>
          <w:tcPr>
            <w:tcW w:type="dxa" w:w="28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Macro Avg Precision</w:t>
            </w:r>
          </w:p>
        </w:tc>
        <w:tc>
          <w:tcPr>
            <w:tcW w:type="dxa" w:w="15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0.71</w:t>
            </w:r>
          </w:p>
        </w:tc>
        <w:tc>
          <w:tcPr>
            <w:tcW w:type="dxa" w:w="506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Average precision across all four classes equally weighted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Macro Avg Recall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0.66</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recall across all four classes equally weighted</w:t>
            </w:r>
          </w:p>
        </w:tc>
      </w:tr>
      <w:tr>
        <w:tc>
          <w:tcPr>
            <w:tcW w:type="dxa" w:w="28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Macro Avg F1-Score</w:t>
            </w:r>
          </w:p>
        </w:tc>
        <w:tc>
          <w:tcPr>
            <w:tcW w:type="dxa" w:w="15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0.68</w:t>
            </w:r>
          </w:p>
        </w:tc>
        <w:tc>
          <w:tcPr>
            <w:tcW w:type="dxa" w:w="506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Harmonic mean of macro precision and recall</w:t>
            </w:r>
          </w:p>
        </w:tc>
      </w:tr>
    </w:tbl>
    <w:p>
      <w:pPr>
        <w:spacing w:after="60" w:before="60"/>
      </w:pPr>
      <w:r>
        <w:t xml:space="preserve"/>
      </w:r>
    </w:p>
    <w:p>
      <w:pPr>
        <w:pStyle w:val="Heading2"/>
      </w:pPr>
      <w:r>
        <w:rPr>
          <w:rFonts w:ascii="Arial" w:cs="Arial" w:eastAsia="Arial" w:hAnsi="Arial"/>
          <w:b/>
          <w:bCs/>
          <w:color w:val="2E75B6"/>
          <w:sz w:val="28"/>
          <w:szCs w:val="28"/>
        </w:rPr>
        <w:t xml:space="preserve">4.3 Per-Class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200"/>
        <w:gridCol w:w="1200"/>
        <w:gridCol w:w="1200"/>
        <w:gridCol w:w="15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Label</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Precision</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F1-Score</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Support</w:t>
            </w:r>
          </w:p>
        </w:tc>
      </w:tr>
      <w:tr>
        <w:tc>
          <w:tcPr>
            <w:tcW w:type="dxa" w:w="7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0</w:t>
            </w:r>
          </w:p>
        </w:tc>
        <w:tc>
          <w:tcPr>
            <w:tcW w:type="dxa" w:w="25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Days Away From Work</w:t>
            </w:r>
          </w:p>
        </w:tc>
        <w:tc>
          <w:tcPr>
            <w:tcW w:type="dxa" w:w="12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0.79</w:t>
            </w:r>
          </w:p>
        </w:tc>
        <w:tc>
          <w:tcPr>
            <w:tcW w:type="dxa" w:w="12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0.72</w:t>
            </w:r>
          </w:p>
        </w:tc>
        <w:tc>
          <w:tcPr>
            <w:tcW w:type="dxa" w:w="12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0.75</w:t>
            </w:r>
          </w:p>
        </w:tc>
        <w:tc>
          <w:tcPr>
            <w:tcW w:type="dxa" w:w="156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48,883</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w:t>
            </w:r>
          </w:p>
        </w:tc>
      </w:tr>
      <w:tr>
        <w:tc>
          <w:tcPr>
            <w:tcW w:type="dxa" w:w="7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Job Transfer/Restriction</w:t>
            </w:r>
          </w:p>
        </w:tc>
        <w:tc>
          <w:tcPr>
            <w:tcW w:type="dxa" w:w="12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0.70</w:t>
            </w:r>
          </w:p>
        </w:tc>
        <w:tc>
          <w:tcPr>
            <w:tcW w:type="dxa" w:w="12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0.77</w:t>
            </w:r>
          </w:p>
        </w:tc>
        <w:tc>
          <w:tcPr>
            <w:tcW w:type="dxa" w:w="12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0.73</w:t>
            </w:r>
          </w:p>
        </w:tc>
        <w:tc>
          <w:tcPr>
            <w:tcW w:type="dxa" w:w="156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41,226</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Other Case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46,632</w:t>
            </w:r>
          </w:p>
        </w:tc>
      </w:tr>
    </w:tbl>
    <w:p>
      <w:pPr>
        <w:spacing w:after="60" w:before="60"/>
      </w:pPr>
      <w:r>
        <w:t xml:space="preserve"/>
      </w:r>
    </w:p>
    <w:p>
      <w:pPr>
        <w:spacing w:after="80" w:before="80"/>
        <w:jc w:val="both"/>
      </w:pPr>
      <w:r>
        <w:rPr>
          <w:rFonts w:ascii="Arial" w:cs="Arial" w:eastAsia="Arial" w:hAnsi="Arial"/>
          <w:b/>
          <w:bCs/>
          <w:sz w:val="24"/>
          <w:szCs w:val="24"/>
        </w:rPr>
        <w:t xml:space="preserve">Note on Class 1 (Death): </w:t>
      </w:r>
      <w:r>
        <w:rPr>
          <w:rFonts w:ascii="Arial" w:cs="Arial" w:eastAsia="Arial" w:hAnsi="Arial"/>
          <w:sz w:val="24"/>
          <w:szCs w:val="24"/>
        </w:rPr>
        <w:t xml:space="preserve">The Death class had only 52 test instances (from 199 total in the dataset). Despite this extreme scarcity, LightGBM achieved a Precision of 0.35 and Recall of 0.17 — demonstrating the model does learn signal from the minority class. No other model (Logistic Regression, Random Forest, XGBoost) was able to detect this class at all. The low recall is fundamentally limited by insufficient training examples rather than model architecture.</w:t>
      </w:r>
    </w:p>
    <w:p>
      <w:pPr>
        <w:spacing w:after="60" w:before="60"/>
      </w:pPr>
      <w:r>
        <w:t xml:space="preserve"/>
      </w:r>
    </w:p>
    <w:p>
      <w:pPr>
        <w:pStyle w:val="Heading2"/>
      </w:pPr>
      <w:r>
        <w:rPr>
          <w:rFonts w:ascii="Arial" w:cs="Arial" w:eastAsia="Arial" w:hAnsi="Arial"/>
          <w:b/>
          <w:bCs/>
          <w:color w:val="2E75B6"/>
          <w:sz w:val="28"/>
          <w:szCs w:val="28"/>
        </w:rPr>
        <w:t xml:space="preserve">4.4 Confusion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200"/>
              <w:left w:type="dxa" w:w="300"/>
              <w:bottom w:type="dxa" w:w="200"/>
              <w:right w:type="dxa" w:w="300"/>
            </w:tcMar>
          </w:tcPr>
          <w:p>
            <w:pPr>
              <w:jc w:val="center"/>
            </w:pPr>
            <w:r>
              <w:rPr>
                <w:rFonts w:ascii="Arial" w:cs="Arial" w:eastAsia="Arial" w:hAnsi="Arial"/>
                <w:b/>
                <w:bCs/>
                <w:color w:val="2E75B6"/>
                <w:sz w:val="24"/>
                <w:szCs w:val="24"/>
              </w:rPr>
              <w:t xml:space="preserve">[Figure 4.1: Confusion Matrix — LightGBM Final Model]</w:t>
            </w:r>
          </w:p>
          <w:p>
            <w:pPr>
              <w:spacing w:before="60"/>
              <w:jc w:val="center"/>
            </w:pPr>
            <w:r>
              <w:rPr>
                <w:rFonts w:ascii="Arial" w:cs="Arial" w:eastAsia="Arial" w:hAnsi="Arial"/>
                <w:i/>
                <w:iCs/>
                <w:color w:val="666666"/>
                <w:sz w:val="22"/>
                <w:szCs w:val="22"/>
              </w:rPr>
              <w:t xml:space="preserve">Heatmap confusion matrix showing predicted vs. actual classes (0=DAFW, 1=Death, 2=Job Transfer, 3=Other Case). Insert notebook Cell 174 confusion matrix output here.</w:t>
            </w:r>
          </w:p>
        </w:tc>
      </w:tr>
    </w:tbl>
    <w:p>
      <w:pPr>
        <w:spacing w:after="120" w:before="60"/>
        <w:jc w:val="center"/>
      </w:pPr>
      <w:r>
        <w:rPr>
          <w:rFonts w:ascii="Arial" w:cs="Arial" w:eastAsia="Arial" w:hAnsi="Arial"/>
          <w:i/>
          <w:iCs/>
          <w:color w:val="555555"/>
          <w:sz w:val="22"/>
          <w:szCs w:val="22"/>
        </w:rPr>
        <w:t xml:space="preserve">Figure 4.1: Confusion matrix for the LightGBM final model. Source: Notebook Cell 174.</w:t>
      </w:r>
    </w:p>
    <w:p>
      <w:pPr>
        <w:spacing w:after="60" w:before="60"/>
      </w:pPr>
      <w:r>
        <w:t xml:space="preserve"/>
      </w:r>
    </w:p>
    <w:p>
      <w:pPr>
        <w:spacing w:after="80" w:before="80"/>
        <w:jc w:val="both"/>
      </w:pPr>
      <w:r>
        <w:rPr>
          <w:rFonts w:ascii="Arial" w:cs="Arial" w:eastAsia="Arial" w:hAnsi="Arial"/>
          <w:sz w:val="24"/>
          <w:szCs w:val="24"/>
        </w:rPr>
        <w:t xml:space="preserve">The confusion matrix reveals that:</w:t>
      </w:r>
    </w:p>
    <w:p>
      <w:pPr>
        <w:pStyle w:val="ListParagraph"/>
        <w:numPr>
          <w:ilvl w:val="0"/>
          <w:numId w:val="2"/>
        </w:numPr>
        <w:spacing w:after="40" w:before="40"/>
      </w:pPr>
      <w:r>
        <w:rPr>
          <w:rFonts w:ascii="Arial" w:cs="Arial" w:eastAsia="Arial" w:hAnsi="Arial"/>
          <w:sz w:val="24"/>
          <w:szCs w:val="24"/>
        </w:rPr>
        <w:t xml:space="preserve">Class 3 (Other Case) is classified almost perfectly — the model has learned extremely strong discriminative patterns for this class.</w:t>
      </w:r>
    </w:p>
    <w:p>
      <w:pPr>
        <w:pStyle w:val="ListParagraph"/>
        <w:numPr>
          <w:ilvl w:val="0"/>
          <w:numId w:val="2"/>
        </w:numPr>
        <w:spacing w:after="40" w:before="40"/>
      </w:pPr>
      <w:r>
        <w:rPr>
          <w:rFonts w:ascii="Arial" w:cs="Arial" w:eastAsia="Arial" w:hAnsi="Arial"/>
          <w:sz w:val="24"/>
          <w:szCs w:val="24"/>
        </w:rPr>
        <w:t xml:space="preserve">Classes 0 and 2 show moderate cross-confusion with each other, which is expected given their similar outcome profiles (non-fatal injuries requiring absence vs. restriction).</w:t>
      </w:r>
    </w:p>
    <w:p>
      <w:pPr>
        <w:pStyle w:val="ListParagraph"/>
        <w:numPr>
          <w:ilvl w:val="0"/>
          <w:numId w:val="2"/>
        </w:numPr>
        <w:spacing w:after="40" w:before="40"/>
      </w:pPr>
      <w:r>
        <w:rPr>
          <w:rFonts w:ascii="Arial" w:cs="Arial" w:eastAsia="Arial" w:hAnsi="Arial"/>
          <w:sz w:val="24"/>
          <w:szCs w:val="24"/>
        </w:rPr>
        <w:t xml:space="preserve">Class 1 (Death) shows limited but non-zero detection — a meaningful achievement given only 52 test instances.</w:t>
      </w:r>
    </w:p>
    <w:p>
      <w:pPr>
        <w:spacing w:after="60" w:before="60"/>
      </w:pPr>
      <w:r>
        <w:t xml:space="preserve"/>
      </w:r>
    </w:p>
    <w:p>
      <w:pPr>
        <w:pStyle w:val="Heading2"/>
      </w:pPr>
      <w:r>
        <w:rPr>
          <w:rFonts w:ascii="Arial" w:cs="Arial" w:eastAsia="Arial" w:hAnsi="Arial"/>
          <w:b/>
          <w:bCs/>
          <w:color w:val="2E75B6"/>
          <w:sz w:val="28"/>
          <w:szCs w:val="28"/>
        </w:rPr>
        <w:t xml:space="preserve">4.5 Why LightGBM Was Selected</w:t>
      </w:r>
    </w:p>
    <w:p>
      <w:pPr>
        <w:spacing w:after="80" w:before="80"/>
        <w:jc w:val="both"/>
      </w:pPr>
      <w:r>
        <w:rPr>
          <w:rFonts w:ascii="Arial" w:cs="Arial" w:eastAsia="Arial" w:hAnsi="Arial"/>
          <w:sz w:val="24"/>
          <w:szCs w:val="24"/>
        </w:rPr>
        <w:t xml:space="preserve">LightGBM was preferred over XGBoost and Random Forest for the following reasons:</w:t>
      </w:r>
    </w:p>
    <w:p>
      <w:pPr>
        <w:pStyle w:val="ListParagraph"/>
        <w:numPr>
          <w:ilvl w:val="0"/>
          <w:numId w:val="2"/>
        </w:numPr>
        <w:spacing w:after="40" w:before="40"/>
      </w:pPr>
      <w:r>
        <w:rPr>
          <w:rFonts w:ascii="Arial" w:cs="Arial" w:eastAsia="Arial" w:hAnsi="Arial"/>
          <w:sz w:val="24"/>
          <w:szCs w:val="24"/>
        </w:rPr>
        <w:t xml:space="preserve">Minority Class Detection: XGBoost achieved higher raw accuracy (83.1%) but scored F1=0.00 for the Death class. LightGBM sacrificed 0.4% accuracy to achieve F1=0.23 for the most safety-critical class.</w:t>
      </w:r>
    </w:p>
    <w:p>
      <w:pPr>
        <w:pStyle w:val="ListParagraph"/>
        <w:numPr>
          <w:ilvl w:val="0"/>
          <w:numId w:val="2"/>
        </w:numPr>
        <w:spacing w:after="40" w:before="40"/>
      </w:pPr>
      <w:r>
        <w:rPr>
          <w:rFonts w:ascii="Arial" w:cs="Arial" w:eastAsia="Arial" w:hAnsi="Arial"/>
          <w:sz w:val="24"/>
          <w:szCs w:val="24"/>
        </w:rPr>
        <w:t xml:space="preserve">Training Efficiency: LightGBM’s histogram-based split finding is significantly faster than XGBoost’s pre-sorted algorithm on the 547K training set.</w:t>
      </w:r>
    </w:p>
    <w:p>
      <w:pPr>
        <w:pStyle w:val="ListParagraph"/>
        <w:numPr>
          <w:ilvl w:val="0"/>
          <w:numId w:val="2"/>
        </w:numPr>
        <w:spacing w:after="40" w:before="40"/>
      </w:pPr>
      <w:r>
        <w:rPr>
          <w:rFonts w:ascii="Arial" w:cs="Arial" w:eastAsia="Arial" w:hAnsi="Arial"/>
          <w:sz w:val="24"/>
          <w:szCs w:val="24"/>
        </w:rPr>
        <w:t xml:space="preserve">Built-in Regularization: LightGBM’s leaf-wise growth with max_depth control effectively prevents overfitting.</w:t>
      </w:r>
    </w:p>
    <w:p>
      <w:pPr>
        <w:pStyle w:val="ListParagraph"/>
        <w:numPr>
          <w:ilvl w:val="0"/>
          <w:numId w:val="2"/>
        </w:numPr>
        <w:spacing w:after="40" w:before="40"/>
      </w:pPr>
      <w:r>
        <w:rPr>
          <w:rFonts w:ascii="Arial" w:cs="Arial" w:eastAsia="Arial" w:hAnsi="Arial"/>
          <w:sz w:val="24"/>
          <w:szCs w:val="24"/>
        </w:rPr>
        <w:t xml:space="preserve">Balanced Class Handling: The class_weight="balanced" parameter integrates naturally into LightGBM’s sample weighting, unlike post-hoc threshold tuning in Random Forest.</w:t>
      </w:r>
    </w:p>
    <w:p>
      <w:pPr>
        <w:spacing w:after="60" w:before="60"/>
      </w:pPr>
      <w:r>
        <w:t xml:space="preserve"/>
      </w:r>
    </w:p>
    <w:p>
      <w:r>
        <w:br w:type="page"/>
      </w:r>
    </w:p>
    <w:p>
      <w:pPr>
        <w:pStyle w:val="Heading1"/>
      </w:pPr>
      <w:r>
        <w:rPr>
          <w:rFonts w:ascii="Arial" w:cs="Arial" w:eastAsia="Arial" w:hAnsi="Arial"/>
          <w:b/>
          <w:bCs/>
          <w:color w:val="1F4E79"/>
          <w:sz w:val="36"/>
          <w:szCs w:val="36"/>
        </w:rPr>
        <w:t xml:space="preserve">5. Comparison to Benchmark</w:t>
      </w:r>
    </w:p>
    <w:p>
      <w:pPr>
        <w:pStyle w:val="Heading2"/>
      </w:pPr>
      <w:r>
        <w:rPr>
          <w:rFonts w:ascii="Arial" w:cs="Arial" w:eastAsia="Arial" w:hAnsi="Arial"/>
          <w:b/>
          <w:bCs/>
          <w:color w:val="2E75B6"/>
          <w:sz w:val="28"/>
          <w:szCs w:val="28"/>
        </w:rPr>
        <w:t xml:space="preserve">5.1 Benchmark Definition</w:t>
      </w:r>
    </w:p>
    <w:p>
      <w:pPr>
        <w:spacing w:after="80" w:before="80"/>
        <w:jc w:val="both"/>
      </w:pPr>
      <w:r>
        <w:rPr>
          <w:rFonts w:ascii="Arial" w:cs="Arial" w:eastAsia="Arial" w:hAnsi="Arial"/>
          <w:sz w:val="24"/>
          <w:szCs w:val="24"/>
        </w:rPr>
        <w:t xml:space="preserve">The benchmark model was a Logistic Regression classifier with class_weight="balanced" and max_iter=1000, trained on StandardScaler-normalized features. This represents the simplest reasonable baseline for multi-class classification with imbalanced data.</w:t>
      </w:r>
    </w:p>
    <w:p>
      <w:pPr>
        <w:spacing w:after="60" w:before="60"/>
      </w:pPr>
      <w:r>
        <w:t xml:space="preserve"/>
      </w:r>
    </w:p>
    <w:p>
      <w:pPr>
        <w:pStyle w:val="Heading2"/>
      </w:pPr>
      <w:r>
        <w:rPr>
          <w:rFonts w:ascii="Arial" w:cs="Arial" w:eastAsia="Arial" w:hAnsi="Arial"/>
          <w:b/>
          <w:bCs/>
          <w:color w:val="2E75B6"/>
          <w:sz w:val="28"/>
          <w:szCs w:val="28"/>
        </w:rPr>
        <w:t xml:space="preserve">5.2 Model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300"/>
        <w:gridCol w:w="1300"/>
        <w:gridCol w:w="1500"/>
        <w:gridCol w:w="15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Cohen Kappa</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MCC</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Death Class F1</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Logistic Regression (Baseline)</w:t>
            </w:r>
          </w:p>
        </w:tc>
        <w:tc>
          <w:tcPr>
            <w:tcW w:type="dxa" w:w="12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71.7%</w:t>
            </w:r>
          </w:p>
        </w:tc>
        <w:tc>
          <w:tcPr>
            <w:tcW w:type="dxa" w:w="13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0.575</w:t>
            </w:r>
          </w:p>
        </w:tc>
        <w:tc>
          <w:tcPr>
            <w:tcW w:type="dxa" w:w="13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0.580</w:t>
            </w:r>
          </w:p>
        </w:tc>
        <w:tc>
          <w:tcPr>
            <w:tcW w:type="dxa" w:w="15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0.07</w:t>
            </w:r>
          </w:p>
        </w:tc>
        <w:tc>
          <w:tcPr>
            <w:tcW w:type="dxa" w:w="156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Benchmark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Forest (balanced_subsample)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77.0%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0.655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0.656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Improved</w:t>
            </w:r>
          </w:p>
        </w:tc>
      </w:tr>
      <w:tr>
        <w:tc>
          <w:tcPr>
            <w:tcW w:type="dxa" w:w="25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XGBoost</w:t>
            </w:r>
          </w:p>
        </w:tc>
        <w:tc>
          <w:tcPr>
            <w:tcW w:type="dxa" w:w="12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83.1%</w:t>
            </w:r>
          </w:p>
        </w:tc>
        <w:tc>
          <w:tcPr>
            <w:tcW w:type="dxa" w:w="13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0.746</w:t>
            </w:r>
          </w:p>
        </w:tc>
        <w:tc>
          <w:tcPr>
            <w:tcW w:type="dxa" w:w="13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0.746</w:t>
            </w:r>
          </w:p>
        </w:tc>
        <w:tc>
          <w:tcPr>
            <w:tcW w:type="dxa" w:w="15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0.00</w:t>
            </w:r>
          </w:p>
        </w:tc>
        <w:tc>
          <w:tcPr>
            <w:tcW w:type="dxa" w:w="156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High Accuracy, Fails Minority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LightGBM (Final Model)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82.7%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0.741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0.742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SELECTED — Best Balance</w:t>
            </w:r>
          </w:p>
        </w:tc>
      </w:tr>
    </w:tbl>
    <w:p>
      <w:pPr>
        <w:spacing w:after="60" w:before="60"/>
      </w:pPr>
      <w:r>
        <w:t xml:space="preserve"/>
      </w:r>
    </w:p>
    <w:p>
      <w:pPr>
        <w:pStyle w:val="Heading2"/>
      </w:pPr>
      <w:r>
        <w:rPr>
          <w:rFonts w:ascii="Arial" w:cs="Arial" w:eastAsia="Arial" w:hAnsi="Arial"/>
          <w:b/>
          <w:bCs/>
          <w:color w:val="2E75B6"/>
          <w:sz w:val="28"/>
          <w:szCs w:val="28"/>
        </w:rPr>
        <w:t xml:space="preserve">5.3 Did We Improve on the Benchmark?</w:t>
      </w:r>
    </w:p>
    <w:p>
      <w:pPr>
        <w:spacing w:after="80" w:before="80"/>
        <w:jc w:val="both"/>
      </w:pPr>
      <w:r>
        <w:rPr>
          <w:rFonts w:ascii="Arial" w:cs="Arial" w:eastAsia="Arial" w:hAnsi="Arial"/>
          <w:sz w:val="24"/>
          <w:szCs w:val="24"/>
        </w:rPr>
        <w:t xml:space="preserve">Yes — substantially. The final LightGBM model improved on the benchmark across every meaningful evaluation metric:</w:t>
      </w:r>
    </w:p>
    <w:p>
      <w:pPr>
        <w:pStyle w:val="ListParagraph"/>
        <w:numPr>
          <w:ilvl w:val="0"/>
          <w:numId w:val="2"/>
        </w:numPr>
        <w:spacing w:after="40" w:before="40"/>
      </w:pPr>
      <w:r>
        <w:rPr>
          <w:rFonts w:ascii="Arial" w:cs="Arial" w:eastAsia="Arial" w:hAnsi="Arial"/>
          <w:sz w:val="24"/>
          <w:szCs w:val="24"/>
        </w:rPr>
        <w:t xml:space="preserve">Accuracy: +11.0 percentage points (71.7% → 82.7%)</w:t>
      </w:r>
    </w:p>
    <w:p>
      <w:pPr>
        <w:pStyle w:val="ListParagraph"/>
        <w:numPr>
          <w:ilvl w:val="0"/>
          <w:numId w:val="2"/>
        </w:numPr>
        <w:spacing w:after="40" w:before="40"/>
      </w:pPr>
      <w:r>
        <w:rPr>
          <w:rFonts w:ascii="Arial" w:cs="Arial" w:eastAsia="Arial" w:hAnsi="Arial"/>
          <w:sz w:val="24"/>
          <w:szCs w:val="24"/>
        </w:rPr>
        <w:t xml:space="preserve">Cohen’s Kappa: +0.166 (0.575 → 0.741) — a leap from "moderate" to "substantial" agreement</w:t>
      </w:r>
    </w:p>
    <w:p>
      <w:pPr>
        <w:pStyle w:val="ListParagraph"/>
        <w:numPr>
          <w:ilvl w:val="0"/>
          <w:numId w:val="2"/>
        </w:numPr>
        <w:spacing w:after="40" w:before="40"/>
      </w:pPr>
      <w:r>
        <w:rPr>
          <w:rFonts w:ascii="Arial" w:cs="Arial" w:eastAsia="Arial" w:hAnsi="Arial"/>
          <w:sz w:val="24"/>
          <w:szCs w:val="24"/>
        </w:rPr>
        <w:t xml:space="preserve">MCC: +0.162 (0.580 → 0.742) — a more robust improvement given class imbalance</w:t>
      </w:r>
    </w:p>
    <w:p>
      <w:pPr>
        <w:pStyle w:val="ListParagraph"/>
        <w:numPr>
          <w:ilvl w:val="0"/>
          <w:numId w:val="2"/>
        </w:numPr>
        <w:spacing w:after="40" w:before="40"/>
      </w:pPr>
      <w:r>
        <w:rPr>
          <w:rFonts w:ascii="Arial" w:cs="Arial" w:eastAsia="Arial" w:hAnsi="Arial"/>
          <w:sz w:val="24"/>
          <w:szCs w:val="24"/>
        </w:rPr>
        <w:t xml:space="preserve">Death Class F1: +0.16 (0.07 → 0.23) — the most safety-critical improvement</w:t>
      </w:r>
    </w:p>
    <w:p>
      <w:pPr>
        <w:spacing w:after="60" w:before="60"/>
      </w:pPr>
      <w:r>
        <w:t xml:space="preserve"/>
      </w:r>
    </w:p>
    <w:p>
      <w:pPr>
        <w:spacing w:after="80" w:before="80"/>
        <w:jc w:val="both"/>
      </w:pPr>
      <w:r>
        <w:rPr>
          <w:rFonts w:ascii="Arial" w:cs="Arial" w:eastAsia="Arial" w:hAnsi="Arial"/>
          <w:sz w:val="24"/>
          <w:szCs w:val="24"/>
        </w:rPr>
        <w:t xml:space="preserve">The primary driver of improvement was the shift from a linear decision boundary (Logistic Regression) to a gradient-boosted tree ensemble capable of capturing non-linear interactions among the 585 features. Additionally, LightGBM’s native handling of class imbalance through balanced class weighting proved superior to the logistic regression baseline’s approach.</w:t>
      </w:r>
    </w:p>
    <w:p>
      <w:pPr>
        <w:spacing w:after="60" w:before="60"/>
      </w:pPr>
      <w:r>
        <w:t xml:space="preserve"/>
      </w:r>
    </w:p>
    <w:p>
      <w:pPr>
        <w:spacing w:after="80" w:before="80"/>
        <w:jc w:val="both"/>
      </w:pPr>
      <w:r>
        <w:rPr>
          <w:rFonts w:ascii="Arial" w:cs="Arial" w:eastAsia="Arial" w:hAnsi="Arial"/>
          <w:sz w:val="24"/>
          <w:szCs w:val="24"/>
        </w:rPr>
        <w:t xml:space="preserve">The XGBoost model achieved marginally higher raw accuracy (83.1% vs 82.7%) but was disqualified as the final model due to complete failure on the Death class (F1=0.00). In a workplace safety context, missing all fatal incidents is an unacceptable outcome, making LightGBM the correct choice despite its slightly lower overall accuracy.</w:t>
      </w:r>
    </w:p>
    <w:p>
      <w:pPr>
        <w:spacing w:after="60" w:before="60"/>
      </w:pPr>
      <w:r>
        <w:t xml:space="preserve"/>
      </w:r>
    </w:p>
    <w:p>
      <w:r>
        <w:br w:type="page"/>
      </w:r>
    </w:p>
    <w:p>
      <w:pPr>
        <w:pStyle w:val="Heading1"/>
      </w:pPr>
      <w:r>
        <w:rPr>
          <w:rFonts w:ascii="Arial" w:cs="Arial" w:eastAsia="Arial" w:hAnsi="Arial"/>
          <w:b/>
          <w:bCs/>
          <w:color w:val="1F4E79"/>
          <w:sz w:val="36"/>
          <w:szCs w:val="36"/>
        </w:rPr>
        <w:t xml:space="preserve">6. Visualizations</w:t>
      </w:r>
    </w:p>
    <w:p>
      <w:pPr>
        <w:spacing w:after="80" w:before="80"/>
        <w:jc w:val="both"/>
      </w:pPr>
      <w:r>
        <w:rPr>
          <w:rFonts w:ascii="Arial" w:cs="Arial" w:eastAsia="Arial" w:hAnsi="Arial"/>
          <w:sz w:val="24"/>
          <w:szCs w:val="24"/>
        </w:rPr>
        <w:t xml:space="preserve">All key visualizations from the analysis are referenced below with source notebook cells. Each figure supports the analytical narrative and model evaluation.</w:t>
      </w:r>
    </w:p>
    <w:p>
      <w:pPr>
        <w:spacing w:after="60" w:before="60"/>
      </w:pPr>
      <w:r>
        <w:t xml:space="preserve"/>
      </w:r>
    </w:p>
    <w:p>
      <w:pPr>
        <w:pStyle w:val="Heading2"/>
      </w:pPr>
      <w:r>
        <w:rPr>
          <w:rFonts w:ascii="Arial" w:cs="Arial" w:eastAsia="Arial" w:hAnsi="Arial"/>
          <w:b/>
          <w:bCs/>
          <w:color w:val="2E75B6"/>
          <w:sz w:val="28"/>
          <w:szCs w:val="28"/>
        </w:rPr>
        <w:t xml:space="preserve">6.1 Target Variable and Class Imbalance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200"/>
              <w:left w:type="dxa" w:w="300"/>
              <w:bottom w:type="dxa" w:w="200"/>
              <w:right w:type="dxa" w:w="300"/>
            </w:tcMar>
          </w:tcPr>
          <w:p>
            <w:pPr>
              <w:jc w:val="center"/>
            </w:pPr>
            <w:r>
              <w:rPr>
                <w:rFonts w:ascii="Arial" w:cs="Arial" w:eastAsia="Arial" w:hAnsi="Arial"/>
                <w:b/>
                <w:bCs/>
                <w:color w:val="2E75B6"/>
                <w:sz w:val="24"/>
                <w:szCs w:val="24"/>
              </w:rPr>
              <w:t xml:space="preserve">[Figure 6.1: Incident Outcome Distribution — Bar Chart]</w:t>
            </w:r>
          </w:p>
          <w:p>
            <w:pPr>
              <w:spacing w:before="60"/>
              <w:jc w:val="center"/>
            </w:pPr>
            <w:r>
              <w:rPr>
                <w:rFonts w:ascii="Arial" w:cs="Arial" w:eastAsia="Arial" w:hAnsi="Arial"/>
                <w:i/>
                <w:iCs/>
                <w:color w:val="666666"/>
                <w:sz w:val="22"/>
                <w:szCs w:val="22"/>
              </w:rPr>
              <w:t xml:space="preserve">Bar chart with counts annotated: DAFW=244,181, Other Case=232,651, Job Transfer=206,931, Death=199. The near-invisible Death bar illustrates the extreme imbalance. Source: Notebook Cell 40.</w:t>
            </w:r>
          </w:p>
        </w:tc>
      </w:tr>
    </w:tbl>
    <w:p>
      <w:pPr>
        <w:spacing w:after="120" w:before="60"/>
        <w:jc w:val="center"/>
      </w:pPr>
      <w:r>
        <w:rPr>
          <w:rFonts w:ascii="Arial" w:cs="Arial" w:eastAsia="Arial" w:hAnsi="Arial"/>
          <w:i/>
          <w:iCs/>
          <w:color w:val="555555"/>
          <w:sz w:val="22"/>
          <w:szCs w:val="22"/>
        </w:rPr>
        <w:t xml:space="preserve">Figure 6.1: Distribution of target variable (incident_outcome). Extreme class imbalance is evident.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200"/>
              <w:left w:type="dxa" w:w="300"/>
              <w:bottom w:type="dxa" w:w="200"/>
              <w:right w:type="dxa" w:w="300"/>
            </w:tcMar>
          </w:tcPr>
          <w:p>
            <w:pPr>
              <w:jc w:val="center"/>
            </w:pPr>
            <w:r>
              <w:rPr>
                <w:rFonts w:ascii="Arial" w:cs="Arial" w:eastAsia="Arial" w:hAnsi="Arial"/>
                <w:b/>
                <w:bCs/>
                <w:color w:val="2E75B6"/>
                <w:sz w:val="24"/>
                <w:szCs w:val="24"/>
              </w:rPr>
              <w:t xml:space="preserve">[Figure 6.2: Low-Cardinality Categorical Distributions — Pie Charts (4x2 Grid)]</w:t>
            </w:r>
          </w:p>
          <w:p>
            <w:pPr>
              <w:spacing w:before="60"/>
              <w:jc w:val="center"/>
            </w:pPr>
            <w:r>
              <w:rPr>
                <w:rFonts w:ascii="Arial" w:cs="Arial" w:eastAsia="Arial" w:hAnsi="Arial"/>
                <w:i/>
                <w:iCs/>
                <w:color w:val="666666"/>
                <w:sz w:val="22"/>
                <w:szCs w:val="22"/>
              </w:rPr>
              <w:t xml:space="preserve">Pie charts for establishment_type (~93% Private Industry), soc_reviewed, incident_outcome, time_unknown, naics_year, incident_year, incident_month. Source: Notebook Cell 55.</w:t>
            </w:r>
          </w:p>
        </w:tc>
      </w:tr>
    </w:tbl>
    <w:p>
      <w:pPr>
        <w:spacing w:after="120" w:before="60"/>
        <w:jc w:val="center"/>
      </w:pPr>
      <w:r>
        <w:rPr>
          <w:rFonts w:ascii="Arial" w:cs="Arial" w:eastAsia="Arial" w:hAnsi="Arial"/>
          <w:i/>
          <w:iCs/>
          <w:color w:val="555555"/>
          <w:sz w:val="22"/>
          <w:szCs w:val="22"/>
        </w:rPr>
        <w:t xml:space="preserve">Figure 6.2: Proportional distribution of key categorical variables.</w:t>
      </w:r>
    </w:p>
    <w:p>
      <w:pPr>
        <w:spacing w:after="60" w:before="60"/>
      </w:pPr>
      <w:r>
        <w:t xml:space="preserve"/>
      </w:r>
    </w:p>
    <w:p>
      <w:pPr>
        <w:pStyle w:val="Heading2"/>
      </w:pPr>
      <w:r>
        <w:rPr>
          <w:rFonts w:ascii="Arial" w:cs="Arial" w:eastAsia="Arial" w:hAnsi="Arial"/>
          <w:b/>
          <w:bCs/>
          <w:color w:val="2E75B6"/>
          <w:sz w:val="28"/>
          <w:szCs w:val="28"/>
        </w:rPr>
        <w:t xml:space="preserve">6.2 Numerical Feature Distributions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200"/>
              <w:left w:type="dxa" w:w="300"/>
              <w:bottom w:type="dxa" w:w="200"/>
              <w:right w:type="dxa" w:w="300"/>
            </w:tcMar>
          </w:tcPr>
          <w:p>
            <w:pPr>
              <w:jc w:val="center"/>
            </w:pPr>
            <w:r>
              <w:rPr>
                <w:rFonts w:ascii="Arial" w:cs="Arial" w:eastAsia="Arial" w:hAnsi="Arial"/>
                <w:b/>
                <w:bCs/>
                <w:color w:val="2E75B6"/>
                <w:sz w:val="24"/>
                <w:szCs w:val="24"/>
              </w:rPr>
              <w:t xml:space="preserve">[Figure 6.3: Histogram Distributions — 8 Numerical Variables (2x4 Grid)]</w:t>
            </w:r>
          </w:p>
          <w:p>
            <w:pPr>
              <w:spacing w:before="60"/>
              <w:jc w:val="center"/>
            </w:pPr>
            <w:r>
              <w:rPr>
                <w:rFonts w:ascii="Arial" w:cs="Arial" w:eastAsia="Arial" w:hAnsi="Arial"/>
                <w:i/>
                <w:iCs/>
                <w:color w:val="666666"/>
                <w:sz w:val="22"/>
                <w:szCs w:val="22"/>
              </w:rPr>
              <w:t xml:space="preserve">Histplots with KDE overlay: size, annual_average_employees, total_hours_worked, soc_probability, dafw_num_away, djtr_num_tr, incident_hour, start_hour. Right-skew prominent in employees, hours, and injury days. Source: Notebook Cell 44.</w:t>
            </w:r>
          </w:p>
        </w:tc>
      </w:tr>
    </w:tbl>
    <w:p>
      <w:pPr>
        <w:spacing w:after="120" w:before="60"/>
        <w:jc w:val="center"/>
      </w:pPr>
      <w:r>
        <w:rPr>
          <w:rFonts w:ascii="Arial" w:cs="Arial" w:eastAsia="Arial" w:hAnsi="Arial"/>
          <w:i/>
          <w:iCs/>
          <w:color w:val="555555"/>
          <w:sz w:val="22"/>
          <w:szCs w:val="22"/>
        </w:rPr>
        <w:t xml:space="preserve">Figure 6.3: Univariate distributions of numerical features showing skewness patterns.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200"/>
              <w:left w:type="dxa" w:w="300"/>
              <w:bottom w:type="dxa" w:w="200"/>
              <w:right w:type="dxa" w:w="300"/>
            </w:tcMar>
          </w:tcPr>
          <w:p>
            <w:pPr>
              <w:jc w:val="center"/>
            </w:pPr>
            <w:r>
              <w:rPr>
                <w:rFonts w:ascii="Arial" w:cs="Arial" w:eastAsia="Arial" w:hAnsi="Arial"/>
                <w:b/>
                <w:bCs/>
                <w:color w:val="2E75B6"/>
                <w:sz w:val="24"/>
                <w:szCs w:val="24"/>
              </w:rPr>
              <w:t xml:space="preserve">[Figure 6.4: Boxplots — Outlier Detection (2x4 Grid)]</w:t>
            </w:r>
          </w:p>
          <w:p>
            <w:pPr>
              <w:spacing w:before="60"/>
              <w:jc w:val="center"/>
            </w:pPr>
            <w:r>
              <w:rPr>
                <w:rFonts w:ascii="Arial" w:cs="Arial" w:eastAsia="Arial" w:hAnsi="Arial"/>
                <w:i/>
                <w:iCs/>
                <w:color w:val="666666"/>
                <w:sz w:val="22"/>
                <w:szCs w:val="22"/>
              </w:rPr>
              <w:t xml:space="preserve">Boxplots for all 8 numerical variables. Extreme outliers in annual_average_employees and total_hours_worked; moderate outliers in dafw_num_away and djtr_num_tr. Source: Notebook Cell 48.</w:t>
            </w:r>
          </w:p>
        </w:tc>
      </w:tr>
    </w:tbl>
    <w:p>
      <w:pPr>
        <w:spacing w:after="120" w:before="60"/>
        <w:jc w:val="center"/>
      </w:pPr>
      <w:r>
        <w:rPr>
          <w:rFonts w:ascii="Arial" w:cs="Arial" w:eastAsia="Arial" w:hAnsi="Arial"/>
          <w:i/>
          <w:iCs/>
          <w:color w:val="555555"/>
          <w:sz w:val="22"/>
          <w:szCs w:val="22"/>
        </w:rPr>
        <w:t xml:space="preserve">Figure 6.4: Boxplot-based outlier visualization. Outliers in employees and hours were capped at the 99th percentile.</w:t>
      </w:r>
    </w:p>
    <w:p>
      <w:pPr>
        <w:spacing w:after="60" w:before="60"/>
      </w:pPr>
      <w:r>
        <w:t xml:space="preserve"/>
      </w:r>
    </w:p>
    <w:p>
      <w:pPr>
        <w:pStyle w:val="Heading2"/>
      </w:pPr>
      <w:r>
        <w:rPr>
          <w:rFonts w:ascii="Arial" w:cs="Arial" w:eastAsia="Arial" w:hAnsi="Arial"/>
          <w:b/>
          <w:bCs/>
          <w:color w:val="2E75B6"/>
          <w:sz w:val="28"/>
          <w:szCs w:val="28"/>
        </w:rPr>
        <w:t xml:space="preserve">6.3 Bivariate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200"/>
              <w:left w:type="dxa" w:w="300"/>
              <w:bottom w:type="dxa" w:w="200"/>
              <w:right w:type="dxa" w:w="300"/>
            </w:tcMar>
          </w:tcPr>
          <w:p>
            <w:pPr>
              <w:jc w:val="center"/>
            </w:pPr>
            <w:r>
              <w:rPr>
                <w:rFonts w:ascii="Arial" w:cs="Arial" w:eastAsia="Arial" w:hAnsi="Arial"/>
                <w:b/>
                <w:bCs/>
                <w:color w:val="2E75B6"/>
                <w:sz w:val="24"/>
                <w:szCs w:val="24"/>
              </w:rPr>
              <w:t xml:space="preserve">[Figure 6.5: Types of Workplace Incidents — Horizontal Bar Chart]</w:t>
            </w:r>
          </w:p>
          <w:p>
            <w:pPr>
              <w:spacing w:before="60"/>
              <w:jc w:val="center"/>
            </w:pPr>
            <w:r>
              <w:rPr>
                <w:rFonts w:ascii="Arial" w:cs="Arial" w:eastAsia="Arial" w:hAnsi="Arial"/>
                <w:i/>
                <w:iCs/>
                <w:color w:val="666666"/>
                <w:sz w:val="22"/>
                <w:szCs w:val="22"/>
              </w:rPr>
              <w:t xml:space="preserve">Count plot: Injury dominates by a vast margin; Other Illness, Respiratory Conditions, Hearing Loss, Skin Disorders, and Poisoning are comparatively rare. Source: Notebook Cell 57.</w:t>
            </w:r>
          </w:p>
        </w:tc>
      </w:tr>
    </w:tbl>
    <w:p>
      <w:pPr>
        <w:spacing w:after="120" w:before="60"/>
        <w:jc w:val="center"/>
      </w:pPr>
      <w:r>
        <w:rPr>
          <w:rFonts w:ascii="Arial" w:cs="Arial" w:eastAsia="Arial" w:hAnsi="Arial"/>
          <w:i/>
          <w:iCs/>
          <w:color w:val="555555"/>
          <w:sz w:val="22"/>
          <w:szCs w:val="22"/>
        </w:rPr>
        <w:t xml:space="preserve">Figure 6.5: Distribution of incident types. Physical injuries account for over 95% of records.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200"/>
              <w:left w:type="dxa" w:w="300"/>
              <w:bottom w:type="dxa" w:w="200"/>
              <w:right w:type="dxa" w:w="300"/>
            </w:tcMar>
          </w:tcPr>
          <w:p>
            <w:pPr>
              <w:jc w:val="center"/>
            </w:pPr>
            <w:r>
              <w:rPr>
                <w:rFonts w:ascii="Arial" w:cs="Arial" w:eastAsia="Arial" w:hAnsi="Arial"/>
                <w:b/>
                <w:bCs/>
                <w:color w:val="2E75B6"/>
                <w:sz w:val="24"/>
                <w:szCs w:val="24"/>
              </w:rPr>
              <w:t xml:space="preserve">[Figure 6.6: Top-10 State / Industry / Occupation (1x3 Bar Grid)]</w:t>
            </w:r>
          </w:p>
          <w:p>
            <w:pPr>
              <w:spacing w:before="60"/>
              <w:jc w:val="center"/>
            </w:pPr>
            <w:r>
              <w:rPr>
                <w:rFonts w:ascii="Arial" w:cs="Arial" w:eastAsia="Arial" w:hAnsi="Arial"/>
                <w:i/>
                <w:iCs/>
                <w:color w:val="666666"/>
                <w:sz w:val="22"/>
                <w:szCs w:val="22"/>
              </w:rPr>
              <w:t xml:space="preserve">Three bar charts: (1) Top states — California leads; (2) Top industries — Hospitals and Warehousing dominate; (3) Top occupations — Uncoded occupations most frequent, followed by laborers and nurses. Source: Notebook Cell 61.</w:t>
            </w:r>
          </w:p>
        </w:tc>
      </w:tr>
    </w:tbl>
    <w:p>
      <w:pPr>
        <w:spacing w:after="120" w:before="60"/>
        <w:jc w:val="center"/>
      </w:pPr>
      <w:r>
        <w:rPr>
          <w:rFonts w:ascii="Arial" w:cs="Arial" w:eastAsia="Arial" w:hAnsi="Arial"/>
          <w:i/>
          <w:iCs/>
          <w:color w:val="555555"/>
          <w:sz w:val="22"/>
          <w:szCs w:val="22"/>
        </w:rPr>
        <w:t xml:space="preserve">Figure 6.6: Top-10 categories for state, industry description, and SOC description.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200"/>
              <w:left w:type="dxa" w:w="300"/>
              <w:bottom w:type="dxa" w:w="200"/>
              <w:right w:type="dxa" w:w="300"/>
            </w:tcMar>
          </w:tcPr>
          <w:p>
            <w:pPr>
              <w:jc w:val="center"/>
            </w:pPr>
            <w:r>
              <w:rPr>
                <w:rFonts w:ascii="Arial" w:cs="Arial" w:eastAsia="Arial" w:hAnsi="Arial"/>
                <w:b/>
                <w:bCs/>
                <w:color w:val="2E75B6"/>
                <w:sz w:val="24"/>
                <w:szCs w:val="24"/>
              </w:rPr>
              <w:t xml:space="preserve">[Figure 6.7: Incident Outcome vs Type of Incident — Grouped Count Plot]</w:t>
            </w:r>
          </w:p>
          <w:p>
            <w:pPr>
              <w:spacing w:before="60"/>
              <w:jc w:val="center"/>
            </w:pPr>
            <w:r>
              <w:rPr>
                <w:rFonts w:ascii="Arial" w:cs="Arial" w:eastAsia="Arial" w:hAnsi="Arial"/>
                <w:i/>
                <w:iCs/>
                <w:color w:val="666666"/>
                <w:sz w:val="22"/>
                <w:szCs w:val="22"/>
              </w:rPr>
              <w:t xml:space="preserve">Injury accounts for the majority across all outcome categories. Deaths are near-zero across all types. Source: Notebook Cell 67.</w:t>
            </w:r>
          </w:p>
        </w:tc>
      </w:tr>
    </w:tbl>
    <w:p>
      <w:pPr>
        <w:spacing w:after="120" w:before="60"/>
        <w:jc w:val="center"/>
      </w:pPr>
      <w:r>
        <w:rPr>
          <w:rFonts w:ascii="Arial" w:cs="Arial" w:eastAsia="Arial" w:hAnsi="Arial"/>
          <w:i/>
          <w:iCs/>
          <w:color w:val="555555"/>
          <w:sz w:val="22"/>
          <w:szCs w:val="22"/>
        </w:rPr>
        <w:t xml:space="preserve">Figure 6.7: Cross-tabulation of incident type and outcome.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200"/>
              <w:left w:type="dxa" w:w="300"/>
              <w:bottom w:type="dxa" w:w="200"/>
              <w:right w:type="dxa" w:w="300"/>
            </w:tcMar>
          </w:tcPr>
          <w:p>
            <w:pPr>
              <w:jc w:val="center"/>
            </w:pPr>
            <w:r>
              <w:rPr>
                <w:rFonts w:ascii="Arial" w:cs="Arial" w:eastAsia="Arial" w:hAnsi="Arial"/>
                <w:b/>
                <w:bCs/>
                <w:color w:val="2E75B6"/>
                <w:sz w:val="24"/>
                <w:szCs w:val="24"/>
              </w:rPr>
              <w:t xml:space="preserve">[Figure 6.8: Incident Outcome by Establishment Type]</w:t>
            </w:r>
          </w:p>
          <w:p>
            <w:pPr>
              <w:spacing w:before="60"/>
              <w:jc w:val="center"/>
            </w:pPr>
            <w:r>
              <w:rPr>
                <w:rFonts w:ascii="Arial" w:cs="Arial" w:eastAsia="Arial" w:hAnsi="Arial"/>
                <w:i/>
                <w:iCs/>
                <w:color w:val="666666"/>
                <w:sz w:val="22"/>
                <w:szCs w:val="22"/>
              </w:rPr>
              <w:t xml:space="preserve">Private Industry overwhelmingly dominates all outcome categories. Source: Notebook Cell 70.</w:t>
            </w:r>
          </w:p>
        </w:tc>
      </w:tr>
    </w:tbl>
    <w:p>
      <w:pPr>
        <w:spacing w:after="120" w:before="60"/>
        <w:jc w:val="center"/>
      </w:pPr>
      <w:r>
        <w:rPr>
          <w:rFonts w:ascii="Arial" w:cs="Arial" w:eastAsia="Arial" w:hAnsi="Arial"/>
          <w:i/>
          <w:iCs/>
          <w:color w:val="555555"/>
          <w:sz w:val="22"/>
          <w:szCs w:val="22"/>
        </w:rPr>
        <w:t xml:space="preserve">Figure 6.8: Incident outcome by establishment type.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200"/>
              <w:left w:type="dxa" w:w="300"/>
              <w:bottom w:type="dxa" w:w="200"/>
              <w:right w:type="dxa" w:w="300"/>
            </w:tcMar>
          </w:tcPr>
          <w:p>
            <w:pPr>
              <w:jc w:val="center"/>
            </w:pPr>
            <w:r>
              <w:rPr>
                <w:rFonts w:ascii="Arial" w:cs="Arial" w:eastAsia="Arial" w:hAnsi="Arial"/>
                <w:b/>
                <w:bCs/>
                <w:color w:val="2E75B6"/>
                <w:sz w:val="24"/>
                <w:szCs w:val="24"/>
              </w:rPr>
              <w:t xml:space="preserve">[Figure 6.9: Incident Outcome by State (Top 10)]</w:t>
            </w:r>
          </w:p>
          <w:p>
            <w:pPr>
              <w:spacing w:before="60"/>
              <w:jc w:val="center"/>
            </w:pPr>
            <w:r>
              <w:rPr>
                <w:rFonts w:ascii="Arial" w:cs="Arial" w:eastAsia="Arial" w:hAnsi="Arial"/>
                <w:i/>
                <w:iCs/>
                <w:color w:val="666666"/>
                <w:sz w:val="22"/>
                <w:szCs w:val="22"/>
              </w:rPr>
              <w:t xml:space="preserve">California leads significantly. All top states show DAFW as the most frequent outcome. Source: Notebook Cell 73.</w:t>
            </w:r>
          </w:p>
        </w:tc>
      </w:tr>
    </w:tbl>
    <w:p>
      <w:pPr>
        <w:spacing w:after="120" w:before="60"/>
        <w:jc w:val="center"/>
      </w:pPr>
      <w:r>
        <w:rPr>
          <w:rFonts w:ascii="Arial" w:cs="Arial" w:eastAsia="Arial" w:hAnsi="Arial"/>
          <w:i/>
          <w:iCs/>
          <w:color w:val="555555"/>
          <w:sz w:val="22"/>
          <w:szCs w:val="22"/>
        </w:rPr>
        <w:t xml:space="preserve">Figure 6.9: Geographic distribution of incident outcomes.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200"/>
              <w:left w:type="dxa" w:w="300"/>
              <w:bottom w:type="dxa" w:w="200"/>
              <w:right w:type="dxa" w:w="300"/>
            </w:tcMar>
          </w:tcPr>
          <w:p>
            <w:pPr>
              <w:jc w:val="center"/>
            </w:pPr>
            <w:r>
              <w:rPr>
                <w:rFonts w:ascii="Arial" w:cs="Arial" w:eastAsia="Arial" w:hAnsi="Arial"/>
                <w:b/>
                <w:bCs/>
                <w:color w:val="2E75B6"/>
                <w:sz w:val="24"/>
                <w:szCs w:val="24"/>
              </w:rPr>
              <w:t xml:space="preserve">[Figure 6.10: Incident Outcome by Industry (Top 10)]</w:t>
            </w:r>
          </w:p>
          <w:p>
            <w:pPr>
              <w:spacing w:before="60"/>
              <w:jc w:val="center"/>
            </w:pPr>
            <w:r>
              <w:rPr>
                <w:rFonts w:ascii="Arial" w:cs="Arial" w:eastAsia="Arial" w:hAnsi="Arial"/>
                <w:i/>
                <w:iCs/>
                <w:color w:val="666666"/>
                <w:sz w:val="22"/>
                <w:szCs w:val="22"/>
              </w:rPr>
              <w:t xml:space="preserve">Hospitals and Warehousing report highest incidents. Warehousing has high Job Transfer/Restriction. Source: Notebook Cell 76.</w:t>
            </w:r>
          </w:p>
        </w:tc>
      </w:tr>
    </w:tbl>
    <w:p>
      <w:pPr>
        <w:spacing w:after="120" w:before="60"/>
        <w:jc w:val="center"/>
      </w:pPr>
      <w:r>
        <w:rPr>
          <w:rFonts w:ascii="Arial" w:cs="Arial" w:eastAsia="Arial" w:hAnsi="Arial"/>
          <w:i/>
          <w:iCs/>
          <w:color w:val="555555"/>
          <w:sz w:val="22"/>
          <w:szCs w:val="22"/>
        </w:rPr>
        <w:t xml:space="preserve">Figure 6.10: Industry-level incident outcome distribution.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200"/>
              <w:left w:type="dxa" w:w="300"/>
              <w:bottom w:type="dxa" w:w="200"/>
              <w:right w:type="dxa" w:w="300"/>
            </w:tcMar>
          </w:tcPr>
          <w:p>
            <w:pPr>
              <w:jc w:val="center"/>
            </w:pPr>
            <w:r>
              <w:rPr>
                <w:rFonts w:ascii="Arial" w:cs="Arial" w:eastAsia="Arial" w:hAnsi="Arial"/>
                <w:b/>
                <w:bCs/>
                <w:color w:val="2E75B6"/>
                <w:sz w:val="24"/>
                <w:szCs w:val="24"/>
              </w:rPr>
              <w:t xml:space="preserve">[Figure 6.11: Incident Outcome by Month]</w:t>
            </w:r>
          </w:p>
          <w:p>
            <w:pPr>
              <w:spacing w:before="60"/>
              <w:jc w:val="center"/>
            </w:pPr>
            <w:r>
              <w:rPr>
                <w:rFonts w:ascii="Arial" w:cs="Arial" w:eastAsia="Arial" w:hAnsi="Arial"/>
                <w:i/>
                <w:iCs/>
                <w:color w:val="666666"/>
                <w:sz w:val="22"/>
                <w:szCs w:val="22"/>
              </w:rPr>
              <w:t xml:space="preserve">Consistent monthly distribution; mild elevation in June–August. Source: Notebook Cell 79.</w:t>
            </w:r>
          </w:p>
        </w:tc>
      </w:tr>
    </w:tbl>
    <w:p>
      <w:pPr>
        <w:spacing w:after="120" w:before="60"/>
        <w:jc w:val="center"/>
      </w:pPr>
      <w:r>
        <w:rPr>
          <w:rFonts w:ascii="Arial" w:cs="Arial" w:eastAsia="Arial" w:hAnsi="Arial"/>
          <w:i/>
          <w:iCs/>
          <w:color w:val="555555"/>
          <w:sz w:val="22"/>
          <w:szCs w:val="22"/>
        </w:rPr>
        <w:t xml:space="preserve">Figure 6.11: Monthly distribution of incident outcomes.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200"/>
              <w:left w:type="dxa" w:w="300"/>
              <w:bottom w:type="dxa" w:w="200"/>
              <w:right w:type="dxa" w:w="300"/>
            </w:tcMar>
          </w:tcPr>
          <w:p>
            <w:pPr>
              <w:jc w:val="center"/>
            </w:pPr>
            <w:r>
              <w:rPr>
                <w:rFonts w:ascii="Arial" w:cs="Arial" w:eastAsia="Arial" w:hAnsi="Arial"/>
                <w:b/>
                <w:bCs/>
                <w:color w:val="2E75B6"/>
                <w:sz w:val="24"/>
                <w:szCs w:val="24"/>
              </w:rPr>
              <w:t xml:space="preserve">[Figure 6.12: Incident Outcome by Industry Sector (NAICS 2-digit)]</w:t>
            </w:r>
          </w:p>
          <w:p>
            <w:pPr>
              <w:spacing w:before="60"/>
              <w:jc w:val="center"/>
            </w:pPr>
            <w:r>
              <w:rPr>
                <w:rFonts w:ascii="Arial" w:cs="Arial" w:eastAsia="Arial" w:hAnsi="Arial"/>
                <w:i/>
                <w:iCs/>
                <w:color w:val="666666"/>
                <w:sz w:val="22"/>
                <w:szCs w:val="22"/>
              </w:rPr>
              <w:t xml:space="preserve">Sector 62 (Healthcare) and 49 (Transportation) show highest total incident counts. Source: Notebook Cell 82.</w:t>
            </w:r>
          </w:p>
        </w:tc>
      </w:tr>
    </w:tbl>
    <w:p>
      <w:pPr>
        <w:spacing w:after="120" w:before="60"/>
        <w:jc w:val="center"/>
      </w:pPr>
      <w:r>
        <w:rPr>
          <w:rFonts w:ascii="Arial" w:cs="Arial" w:eastAsia="Arial" w:hAnsi="Arial"/>
          <w:i/>
          <w:iCs/>
          <w:color w:val="555555"/>
          <w:sz w:val="22"/>
          <w:szCs w:val="22"/>
        </w:rPr>
        <w:t xml:space="preserve">Figure 6.12: Incident outcomes by broad industry sector.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200"/>
              <w:left w:type="dxa" w:w="300"/>
              <w:bottom w:type="dxa" w:w="200"/>
              <w:right w:type="dxa" w:w="300"/>
            </w:tcMar>
          </w:tcPr>
          <w:p>
            <w:pPr>
              <w:jc w:val="center"/>
            </w:pPr>
            <w:r>
              <w:rPr>
                <w:rFonts w:ascii="Arial" w:cs="Arial" w:eastAsia="Arial" w:hAnsi="Arial"/>
                <w:b/>
                <w:bCs/>
                <w:color w:val="2E75B6"/>
                <w:sz w:val="24"/>
                <w:szCs w:val="24"/>
              </w:rPr>
              <w:t xml:space="preserve">[Figure 6.13: Incident Outcome by Work Shift]</w:t>
            </w:r>
          </w:p>
          <w:p>
            <w:pPr>
              <w:spacing w:before="60"/>
              <w:jc w:val="center"/>
            </w:pPr>
            <w:r>
              <w:rPr>
                <w:rFonts w:ascii="Arial" w:cs="Arial" w:eastAsia="Arial" w:hAnsi="Arial"/>
                <w:i/>
                <w:iCs/>
                <w:color w:val="666666"/>
                <w:sz w:val="22"/>
                <w:szCs w:val="22"/>
              </w:rPr>
              <w:t xml:space="preserve">Morning and Afternoon shifts have the highest incident counts. Night shift incidents are minimal. Source: Notebook Cell 84.</w:t>
            </w:r>
          </w:p>
        </w:tc>
      </w:tr>
    </w:tbl>
    <w:p>
      <w:pPr>
        <w:spacing w:after="120" w:before="60"/>
        <w:jc w:val="center"/>
      </w:pPr>
      <w:r>
        <w:rPr>
          <w:rFonts w:ascii="Arial" w:cs="Arial" w:eastAsia="Arial" w:hAnsi="Arial"/>
          <w:i/>
          <w:iCs/>
          <w:color w:val="555555"/>
          <w:sz w:val="22"/>
          <w:szCs w:val="22"/>
        </w:rPr>
        <w:t xml:space="preserve">Figure 6.13: Incident outcomes by work shift.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200"/>
              <w:left w:type="dxa" w:w="300"/>
              <w:bottom w:type="dxa" w:w="200"/>
              <w:right w:type="dxa" w:w="300"/>
            </w:tcMar>
          </w:tcPr>
          <w:p>
            <w:pPr>
              <w:jc w:val="center"/>
            </w:pPr>
            <w:r>
              <w:rPr>
                <w:rFonts w:ascii="Arial" w:cs="Arial" w:eastAsia="Arial" w:hAnsi="Arial"/>
                <w:b/>
                <w:bCs/>
                <w:color w:val="2E75B6"/>
                <w:sz w:val="24"/>
                <w:szCs w:val="24"/>
              </w:rPr>
              <w:t xml:space="preserve">[Figure 6.14: Incident Outcome by Season]</w:t>
            </w:r>
          </w:p>
          <w:p>
            <w:pPr>
              <w:spacing w:before="60"/>
              <w:jc w:val="center"/>
            </w:pPr>
            <w:r>
              <w:rPr>
                <w:rFonts w:ascii="Arial" w:cs="Arial" w:eastAsia="Arial" w:hAnsi="Arial"/>
                <w:i/>
                <w:iCs/>
                <w:color w:val="666666"/>
                <w:sz w:val="22"/>
                <w:szCs w:val="22"/>
              </w:rPr>
              <w:t xml:space="preserve">Summer shows the highest incident volume. DAFW is the leading outcome in every season. Source: Notebook Cell 86.</w:t>
            </w:r>
          </w:p>
        </w:tc>
      </w:tr>
    </w:tbl>
    <w:p>
      <w:pPr>
        <w:spacing w:after="120" w:before="60"/>
        <w:jc w:val="center"/>
      </w:pPr>
      <w:r>
        <w:rPr>
          <w:rFonts w:ascii="Arial" w:cs="Arial" w:eastAsia="Arial" w:hAnsi="Arial"/>
          <w:i/>
          <w:iCs/>
          <w:color w:val="555555"/>
          <w:sz w:val="22"/>
          <w:szCs w:val="22"/>
        </w:rPr>
        <w:t xml:space="preserve">Figure 6.14: Seasonal distribution of incident outcomes.</w:t>
      </w:r>
    </w:p>
    <w:p>
      <w:pPr>
        <w:spacing w:after="60" w:before="60"/>
      </w:pPr>
      <w:r>
        <w:t xml:space="preserve"/>
      </w:r>
    </w:p>
    <w:p>
      <w:pPr>
        <w:pStyle w:val="Heading2"/>
      </w:pPr>
      <w:r>
        <w:rPr>
          <w:rFonts w:ascii="Arial" w:cs="Arial" w:eastAsia="Arial" w:hAnsi="Arial"/>
          <w:b/>
          <w:bCs/>
          <w:color w:val="2E75B6"/>
          <w:sz w:val="28"/>
          <w:szCs w:val="28"/>
        </w:rPr>
        <w:t xml:space="preserve">6.4 Multivariate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200"/>
              <w:left w:type="dxa" w:w="300"/>
              <w:bottom w:type="dxa" w:w="200"/>
              <w:right w:type="dxa" w:w="300"/>
            </w:tcMar>
          </w:tcPr>
          <w:p>
            <w:pPr>
              <w:jc w:val="center"/>
            </w:pPr>
            <w:r>
              <w:rPr>
                <w:rFonts w:ascii="Arial" w:cs="Arial" w:eastAsia="Arial" w:hAnsi="Arial"/>
                <w:b/>
                <w:bCs/>
                <w:color w:val="2E75B6"/>
                <w:sz w:val="24"/>
                <w:szCs w:val="24"/>
              </w:rPr>
              <w:t xml:space="preserve">[Figure 6.15: Correlation Heatmap — Numerical Variables (Expanded)]</w:t>
            </w:r>
          </w:p>
          <w:p>
            <w:pPr>
              <w:spacing w:before="60"/>
              <w:jc w:val="center"/>
            </w:pPr>
            <w:r>
              <w:rPr>
                <w:rFonts w:ascii="Arial" w:cs="Arial" w:eastAsia="Arial" w:hAnsi="Arial"/>
                <w:i/>
                <w:iCs/>
                <w:color w:val="666666"/>
                <w:sz w:val="22"/>
                <w:szCs w:val="22"/>
              </w:rPr>
              <w:t xml:space="preserve">Annotated heatmap for 14 variables: size, employees, hours, soc_probability, dafw/djtr, incident timing, is_weekend, working_hour. Annual_avg_employees and total_hours_worked: r=0.91. Source: Notebook Cell 108.</w:t>
            </w:r>
          </w:p>
        </w:tc>
      </w:tr>
    </w:tbl>
    <w:p>
      <w:pPr>
        <w:spacing w:after="120" w:before="60"/>
        <w:jc w:val="center"/>
      </w:pPr>
      <w:r>
        <w:rPr>
          <w:rFonts w:ascii="Arial" w:cs="Arial" w:eastAsia="Arial" w:hAnsi="Arial"/>
          <w:i/>
          <w:iCs/>
          <w:color w:val="555555"/>
          <w:sz w:val="22"/>
          <w:szCs w:val="22"/>
        </w:rPr>
        <w:t xml:space="preserve">Figure 6.15: Pearson correlation heatmap. Strong collinearity between employees and hours worked.</w:t>
      </w:r>
    </w:p>
    <w:p>
      <w:pPr>
        <w:spacing w:after="60" w:before="60"/>
      </w:pPr>
      <w:r>
        <w:t xml:space="preserve"/>
      </w:r>
    </w:p>
    <w:p>
      <w:pPr>
        <w:pStyle w:val="Heading2"/>
      </w:pPr>
      <w:r>
        <w:rPr>
          <w:rFonts w:ascii="Arial" w:cs="Arial" w:eastAsia="Arial" w:hAnsi="Arial"/>
          <w:b/>
          <w:bCs/>
          <w:color w:val="2E75B6"/>
          <w:sz w:val="28"/>
          <w:szCs w:val="28"/>
        </w:rPr>
        <w:t xml:space="preserve">6.5 Hazardous Industry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200"/>
              <w:left w:type="dxa" w:w="300"/>
              <w:bottom w:type="dxa" w:w="200"/>
              <w:right w:type="dxa" w:w="300"/>
            </w:tcMar>
          </w:tcPr>
          <w:p>
            <w:pPr>
              <w:jc w:val="center"/>
            </w:pPr>
            <w:r>
              <w:rPr>
                <w:rFonts w:ascii="Arial" w:cs="Arial" w:eastAsia="Arial" w:hAnsi="Arial"/>
                <w:b/>
                <w:bCs/>
                <w:color w:val="2E75B6"/>
                <w:sz w:val="24"/>
                <w:szCs w:val="24"/>
              </w:rPr>
              <w:t xml:space="preserve">[Figure 6.16: Top 10 Most Hazardous Industries — Horizontal Bar Chart]</w:t>
            </w:r>
          </w:p>
          <w:p>
            <w:pPr>
              <w:spacing w:before="60"/>
              <w:jc w:val="center"/>
            </w:pPr>
            <w:r>
              <w:rPr>
                <w:rFonts w:ascii="Arial" w:cs="Arial" w:eastAsia="Arial" w:hAnsi="Arial"/>
                <w:i/>
                <w:iCs/>
                <w:color w:val="666666"/>
                <w:sz w:val="22"/>
                <w:szCs w:val="22"/>
              </w:rPr>
              <w:t xml:space="preserve">Bar chart of average severity score by industry sector. Sector 48 (Air/Ground Transport) has highest average severity (43.8), followed by Sector 49 (49 = 42.2). Source: Notebook Cell 123.</w:t>
            </w:r>
          </w:p>
        </w:tc>
      </w:tr>
    </w:tbl>
    <w:p>
      <w:pPr>
        <w:spacing w:after="120" w:before="60"/>
        <w:jc w:val="center"/>
      </w:pPr>
      <w:r>
        <w:rPr>
          <w:rFonts w:ascii="Arial" w:cs="Arial" w:eastAsia="Arial" w:hAnsi="Arial"/>
          <w:i/>
          <w:iCs/>
          <w:color w:val="555555"/>
          <w:sz w:val="22"/>
          <w:szCs w:val="22"/>
        </w:rPr>
        <w:t xml:space="preserve">Figure 6.16: Average severity score (dafw + djtr days) per industry sector. Top 10 shown.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200"/>
              <w:left w:type="dxa" w:w="300"/>
              <w:bottom w:type="dxa" w:w="200"/>
              <w:right w:type="dxa" w:w="300"/>
            </w:tcMar>
          </w:tcPr>
          <w:p>
            <w:pPr>
              <w:jc w:val="center"/>
            </w:pPr>
            <w:r>
              <w:rPr>
                <w:rFonts w:ascii="Arial" w:cs="Arial" w:eastAsia="Arial" w:hAnsi="Arial"/>
                <w:b/>
                <w:bCs/>
                <w:color w:val="2E75B6"/>
                <w:sz w:val="24"/>
                <w:szCs w:val="24"/>
              </w:rPr>
              <w:t xml:space="preserve">[Figure 6.17: Monthly Risk Trend for Top Hazardous Industries — Line Chart]</w:t>
            </w:r>
          </w:p>
          <w:p>
            <w:pPr>
              <w:spacing w:before="60"/>
              <w:jc w:val="center"/>
            </w:pPr>
            <w:r>
              <w:rPr>
                <w:rFonts w:ascii="Arial" w:cs="Arial" w:eastAsia="Arial" w:hAnsi="Arial"/>
                <w:i/>
                <w:iCs/>
                <w:color w:val="666666"/>
                <w:sz w:val="22"/>
                <w:szCs w:val="22"/>
              </w:rPr>
              <w:t xml:space="preserve">Line plot with markers: Top 5 industry sectors plotted across 12 months by composite safety risk score. Sector 49 consistently highest; mid-year peak visible. Source: Notebook Cell 130.</w:t>
            </w:r>
          </w:p>
        </w:tc>
      </w:tr>
    </w:tbl>
    <w:p>
      <w:pPr>
        <w:spacing w:after="120" w:before="60"/>
        <w:jc w:val="center"/>
      </w:pPr>
      <w:r>
        <w:rPr>
          <w:rFonts w:ascii="Arial" w:cs="Arial" w:eastAsia="Arial" w:hAnsi="Arial"/>
          <w:i/>
          <w:iCs/>
          <w:color w:val="555555"/>
          <w:sz w:val="22"/>
          <w:szCs w:val="22"/>
        </w:rPr>
        <w:t xml:space="preserve">Figure 6.17: Monthly safety risk trend for the five highest-risk industry sectors.</w:t>
      </w:r>
    </w:p>
    <w:p>
      <w:pPr>
        <w:spacing w:after="60" w:before="60"/>
      </w:pPr>
      <w:r>
        <w:t xml:space="preserve"/>
      </w:r>
    </w:p>
    <w:p>
      <w:pPr>
        <w:spacing w:after="80" w:before="80"/>
        <w:jc w:val="both"/>
      </w:pPr>
      <w:r>
        <w:rPr>
          <w:rFonts w:ascii="Arial" w:cs="Arial" w:eastAsia="Arial" w:hAnsi="Arial"/>
          <w:sz w:val="24"/>
          <w:szCs w:val="24"/>
        </w:rPr>
        <w:t xml:space="preserve">[NEW VISUALIZATION REQUIRED] Add a bar chart comparing Safety Risk Scores (total_incidents × avg_severity) for the top 10 industry sectors from the industry_stats DataFrame (Notebook Cell 125–126). This will clearly show Sector 49 and 62 as the highest composite-risk sectors.</w:t>
      </w:r>
    </w:p>
    <w:p>
      <w:pPr>
        <w:spacing w:after="60" w:before="60"/>
      </w:pPr>
      <w:r>
        <w:t xml:space="preserve"/>
      </w:r>
    </w:p>
    <w:p>
      <w:r>
        <w:br w:type="page"/>
      </w:r>
    </w:p>
    <w:p>
      <w:pPr>
        <w:pStyle w:val="Heading1"/>
      </w:pPr>
      <w:r>
        <w:rPr>
          <w:rFonts w:ascii="Arial" w:cs="Arial" w:eastAsia="Arial" w:hAnsi="Arial"/>
          <w:b/>
          <w:bCs/>
          <w:color w:val="1F4E79"/>
          <w:sz w:val="36"/>
          <w:szCs w:val="36"/>
        </w:rPr>
        <w:t xml:space="preserve">7. Implications</w:t>
      </w:r>
    </w:p>
    <w:p>
      <w:pPr>
        <w:pStyle w:val="Heading2"/>
      </w:pPr>
      <w:r>
        <w:rPr>
          <w:rFonts w:ascii="Arial" w:cs="Arial" w:eastAsia="Arial" w:hAnsi="Arial"/>
          <w:b/>
          <w:bCs/>
          <w:color w:val="2E75B6"/>
          <w:sz w:val="28"/>
          <w:szCs w:val="28"/>
        </w:rPr>
        <w:t xml:space="preserve">7.1 Domain Implications</w:t>
      </w:r>
    </w:p>
    <w:p>
      <w:pPr>
        <w:spacing w:after="80" w:before="80"/>
        <w:jc w:val="both"/>
      </w:pPr>
      <w:r>
        <w:rPr>
          <w:rFonts w:ascii="Arial" w:cs="Arial" w:eastAsia="Arial" w:hAnsi="Arial"/>
          <w:sz w:val="24"/>
          <w:szCs w:val="24"/>
        </w:rPr>
        <w:t xml:space="preserve">The findings and model outputs carry significant implications for workplace safety management across the United States:</w:t>
      </w:r>
    </w:p>
    <w:p>
      <w:pPr>
        <w:spacing w:after="60" w:before="60"/>
      </w:pPr>
      <w:r>
        <w:t xml:space="preserve"/>
      </w:r>
    </w:p>
    <w:p>
      <w:pPr>
        <w:spacing w:after="80" w:before="80"/>
        <w:jc w:val="both"/>
      </w:pPr>
      <w:r>
        <w:rPr>
          <w:rFonts w:ascii="Arial" w:cs="Arial" w:eastAsia="Arial" w:hAnsi="Arial"/>
          <w:b/>
          <w:bCs/>
          <w:sz w:val="24"/>
          <w:szCs w:val="24"/>
        </w:rPr>
        <w:t xml:space="preserve">Industry-Level Risk Prioritization: </w:t>
      </w:r>
      <w:r>
        <w:rPr>
          <w:rFonts w:ascii="Arial" w:cs="Arial" w:eastAsia="Arial" w:hAnsi="Arial"/>
          <w:sz w:val="24"/>
          <w:szCs w:val="24"/>
        </w:rPr>
        <w:t xml:space="preserve">The safety risk analysis demonstrates that Transportation (Sector 49) and Healthcare (Sector 62) carry disproportionately high occupational risk. These findings can directly inform OSHA inspection scheduling, resource allocation, and targeted regulatory guidance. Sector 49’s high average severity score (43.8 composite days per incident) signals that incidents in this sector, while not the most frequent, are often severe.</w:t>
      </w:r>
    </w:p>
    <w:p>
      <w:pPr>
        <w:spacing w:after="60" w:before="60"/>
      </w:pPr>
      <w:r>
        <w:t xml:space="preserve"/>
      </w:r>
    </w:p>
    <w:p>
      <w:pPr>
        <w:spacing w:after="80" w:before="80"/>
        <w:jc w:val="both"/>
      </w:pPr>
      <w:r>
        <w:rPr>
          <w:rFonts w:ascii="Arial" w:cs="Arial" w:eastAsia="Arial" w:hAnsi="Arial"/>
          <w:b/>
          <w:bCs/>
          <w:sz w:val="24"/>
          <w:szCs w:val="24"/>
        </w:rPr>
        <w:t xml:space="preserve">Predictive Incident Triage: </w:t>
      </w:r>
      <w:r>
        <w:rPr>
          <w:rFonts w:ascii="Arial" w:cs="Arial" w:eastAsia="Arial" w:hAnsi="Arial"/>
          <w:sz w:val="24"/>
          <w:szCs w:val="24"/>
        </w:rPr>
        <w:t xml:space="preserve">A deployed LightGBM model could serve as a real-time incident triage system. When an incident is reported to OSHA, the model can immediately classify its likely severity outcome based on the establishment, occupation, industry, timing, and initial narrative. This allows safety officers to prioritize follow-up investigations on high-severity cases.</w:t>
      </w:r>
    </w:p>
    <w:p>
      <w:pPr>
        <w:spacing w:after="60" w:before="60"/>
      </w:pPr>
      <w:r>
        <w:t xml:space="preserve"/>
      </w:r>
    </w:p>
    <w:p>
      <w:pPr>
        <w:spacing w:after="80" w:before="80"/>
        <w:jc w:val="both"/>
      </w:pPr>
      <w:r>
        <w:rPr>
          <w:rFonts w:ascii="Arial" w:cs="Arial" w:eastAsia="Arial" w:hAnsi="Arial"/>
          <w:b/>
          <w:bCs/>
          <w:sz w:val="24"/>
          <w:szCs w:val="24"/>
        </w:rPr>
        <w:t xml:space="preserve">Seasonal Safety Planning: </w:t>
      </w:r>
      <w:r>
        <w:rPr>
          <w:rFonts w:ascii="Arial" w:cs="Arial" w:eastAsia="Arial" w:hAnsi="Arial"/>
          <w:sz w:val="24"/>
          <w:szCs w:val="24"/>
        </w:rPr>
        <w:t xml:space="preserve">The mild summer peak in incident volume (June–August) and the monthly risk trend analysis provide actionable intelligence for proactive seasonal safety planning. Employers in high-risk sectors should increase safety inspections, worker training, and protective equipment availability during these months.</w:t>
      </w:r>
    </w:p>
    <w:p>
      <w:pPr>
        <w:spacing w:after="60" w:before="60"/>
      </w:pPr>
      <w:r>
        <w:t xml:space="preserve"/>
      </w:r>
    </w:p>
    <w:p>
      <w:pPr>
        <w:spacing w:after="80" w:before="80"/>
        <w:jc w:val="both"/>
      </w:pPr>
      <w:r>
        <w:rPr>
          <w:rFonts w:ascii="Arial" w:cs="Arial" w:eastAsia="Arial" w:hAnsi="Arial"/>
          <w:b/>
          <w:bCs/>
          <w:sz w:val="24"/>
          <w:szCs w:val="24"/>
        </w:rPr>
        <w:t xml:space="preserve">Private Sector Focus: </w:t>
      </w:r>
      <w:r>
        <w:rPr>
          <w:rFonts w:ascii="Arial" w:cs="Arial" w:eastAsia="Arial" w:hAnsi="Arial"/>
          <w:sz w:val="24"/>
          <w:szCs w:val="24"/>
        </w:rPr>
        <w:t xml:space="preserve">Over 93% of incidents occur in Private Industry establishments. This strongly suggests that regulatory enforcement and safety program investments should be disproportionately directed toward private sector workplaces, particularly in healthcare, logistics, and warehousing.</w:t>
      </w:r>
    </w:p>
    <w:p>
      <w:pPr>
        <w:spacing w:after="60" w:before="60"/>
      </w:pPr>
      <w:r>
        <w:t xml:space="preserve"/>
      </w:r>
    </w:p>
    <w:p>
      <w:pPr>
        <w:pStyle w:val="Heading2"/>
      </w:pPr>
      <w:r>
        <w:rPr>
          <w:rFonts w:ascii="Arial" w:cs="Arial" w:eastAsia="Arial" w:hAnsi="Arial"/>
          <w:b/>
          <w:bCs/>
          <w:color w:val="2E75B6"/>
          <w:sz w:val="28"/>
          <w:szCs w:val="28"/>
        </w:rPr>
        <w:t xml:space="preserve">7.2 Confidence Level and Recommendations</w:t>
      </w:r>
    </w:p>
    <w:p>
      <w:pPr>
        <w:spacing w:after="80" w:before="80"/>
        <w:jc w:val="both"/>
      </w:pPr>
      <w:r>
        <w:rPr>
          <w:rFonts w:ascii="Arial" w:cs="Arial" w:eastAsia="Arial" w:hAnsi="Arial"/>
          <w:sz w:val="24"/>
          <w:szCs w:val="24"/>
        </w:rPr>
        <w:t xml:space="preserve">Recommendations are made at the following confidence levels: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Recommendation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Confidence</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Basis</w:t>
            </w:r>
          </w:p>
        </w:tc>
      </w:tr>
      <w:tr>
        <w:tc>
          <w:tcPr>
            <w:tcW w:type="dxa" w:w="32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Target OSHA inspections at Transportation (49) and Healthcare (62) sectors</w:t>
            </w:r>
          </w:p>
        </w:tc>
        <w:tc>
          <w:tcPr>
            <w:tcW w:type="dxa" w:w="14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High</w:t>
            </w:r>
          </w:p>
        </w:tc>
        <w:tc>
          <w:tcPr>
            <w:tcW w:type="dxa" w:w="476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Highest composite safety risk scores; strong EDA and model confirmation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Increase summer safety measures in high-risk sectors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Consistent mid-year peak across multiple years in data</w:t>
            </w:r>
          </w:p>
        </w:tc>
      </w:tr>
      <w:tr>
        <w:tc>
          <w:tcPr>
            <w:tcW w:type="dxa" w:w="32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Deploy LightGBM classifier for real-time incident severity triage</w:t>
            </w:r>
          </w:p>
        </w:tc>
        <w:tc>
          <w:tcPr>
            <w:tcW w:type="dxa" w:w="14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Medium</w:t>
            </w:r>
          </w:p>
        </w:tc>
        <w:tc>
          <w:tcPr>
            <w:tcW w:type="dxa" w:w="476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82.7% accuracy and MCC=0.74; Death class recall is 17% — suitable for flagging, not sole decision-making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 more Death class records to improve fatal incident prediction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199 Death cases in 686K records; model performance on this class is data-constrained, not model-constrained</w:t>
            </w:r>
          </w:p>
        </w:tc>
      </w:tr>
      <w:tr>
        <w:tc>
          <w:tcPr>
            <w:tcW w:type="dxa" w:w="32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Expand safety training programs in morning and afternoon shifts</w:t>
            </w:r>
          </w:p>
        </w:tc>
        <w:tc>
          <w:tcPr>
            <w:tcW w:type="dxa" w:w="14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Medium</w:t>
            </w:r>
          </w:p>
        </w:tc>
        <w:tc>
          <w:tcPr>
            <w:tcW w:type="dxa" w:w="476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sz w:val="20"/>
                <w:szCs w:val="20"/>
              </w:rPr>
              <w:t xml:space="preserve">EDA shows these shifts have highest incident counts</w:t>
            </w:r>
          </w:p>
        </w:tc>
      </w:tr>
    </w:tbl>
    <w:p>
      <w:pPr>
        <w:spacing w:after="60" w:before="60"/>
      </w:pPr>
      <w:r>
        <w:t xml:space="preserve"/>
      </w:r>
    </w:p>
    <w:p>
      <w:r>
        <w:br w:type="page"/>
      </w:r>
    </w:p>
    <w:p>
      <w:pPr>
        <w:pStyle w:val="Heading1"/>
      </w:pPr>
      <w:r>
        <w:rPr>
          <w:rFonts w:ascii="Arial" w:cs="Arial" w:eastAsia="Arial" w:hAnsi="Arial"/>
          <w:b/>
          <w:bCs/>
          <w:color w:val="1F4E79"/>
          <w:sz w:val="36"/>
          <w:szCs w:val="36"/>
        </w:rPr>
        <w:t xml:space="preserve">8. Limitations</w:t>
      </w:r>
    </w:p>
    <w:p>
      <w:pPr>
        <w:pStyle w:val="Heading2"/>
      </w:pPr>
      <w:r>
        <w:rPr>
          <w:rFonts w:ascii="Arial" w:cs="Arial" w:eastAsia="Arial" w:hAnsi="Arial"/>
          <w:b/>
          <w:bCs/>
          <w:color w:val="2E75B6"/>
          <w:sz w:val="28"/>
          <w:szCs w:val="28"/>
        </w:rPr>
        <w:t xml:space="preserve">8.1 Data Limitations</w:t>
      </w:r>
    </w:p>
    <w:p>
      <w:pPr>
        <w:pStyle w:val="ListParagraph"/>
        <w:numPr>
          <w:ilvl w:val="0"/>
          <w:numId w:val="2"/>
        </w:numPr>
        <w:spacing w:after="40" w:before="40"/>
      </w:pPr>
      <w:r>
        <w:rPr>
          <w:rFonts w:ascii="Arial" w:cs="Arial" w:eastAsia="Arial" w:hAnsi="Arial"/>
          <w:sz w:val="24"/>
          <w:szCs w:val="24"/>
        </w:rPr>
        <w:t xml:space="preserve">Extreme Class Imbalance (Death): With only 199 fatal incident records out of 683,962 total, the model has insufficient training examples to generalize meaningfully for the most critical class. Even with class_weight="balanced", the Death class recall remains at 0.17. This is fundamentally a data availability problem that cannot be resolved through algorithm selection alone.</w:t>
      </w:r>
    </w:p>
    <w:p>
      <w:pPr>
        <w:pStyle w:val="ListParagraph"/>
        <w:numPr>
          <w:ilvl w:val="0"/>
          <w:numId w:val="2"/>
        </w:numPr>
        <w:spacing w:after="40" w:before="40"/>
      </w:pPr>
      <w:r>
        <w:rPr>
          <w:rFonts w:ascii="Arial" w:cs="Arial" w:eastAsia="Arial" w:hAnsi="Arial"/>
          <w:sz w:val="24"/>
          <w:szCs w:val="24"/>
        </w:rPr>
        <w:t xml:space="preserve">Temporal Scope: The dataset covers primarily 2024 (nearly all records), making it impossible to assess multi-year trends or build time-series-aware models. Long-term seasonality, year-over-year improvement trends, and pandemic effects on workplace safety cannot be studied.</w:t>
      </w:r>
    </w:p>
    <w:p>
      <w:pPr>
        <w:pStyle w:val="ListParagraph"/>
        <w:numPr>
          <w:ilvl w:val="0"/>
          <w:numId w:val="2"/>
        </w:numPr>
        <w:spacing w:after="40" w:before="40"/>
      </w:pPr>
      <w:r>
        <w:rPr>
          <w:rFonts w:ascii="Arial" w:cs="Arial" w:eastAsia="Arial" w:hAnsi="Arial"/>
          <w:sz w:val="24"/>
          <w:szCs w:val="24"/>
        </w:rPr>
        <w:t xml:space="preserve">Reporting Bias: OSHA ITA data is self-reported by employers. Under-reporting of incidents — particularly of minor incidents — is a known issue in occupational safety records, which may bias the class distribution.</w:t>
      </w:r>
    </w:p>
    <w:p>
      <w:pPr>
        <w:pStyle w:val="ListParagraph"/>
        <w:numPr>
          <w:ilvl w:val="0"/>
          <w:numId w:val="2"/>
        </w:numPr>
        <w:spacing w:after="40" w:before="40"/>
      </w:pPr>
      <w:r>
        <w:rPr>
          <w:rFonts w:ascii="Arial" w:cs="Arial" w:eastAsia="Arial" w:hAnsi="Arial"/>
          <w:sz w:val="24"/>
          <w:szCs w:val="24"/>
        </w:rPr>
        <w:t xml:space="preserve">Geographic Granularity: ZIP code-level geospatial features provide location proxies (latitude/longitude), but local environmental conditions, local OSHA enforcement activity, and facility-specific factors are not captured.</w:t>
      </w:r>
    </w:p>
    <w:p>
      <w:pPr>
        <w:spacing w:after="60" w:before="60"/>
      </w:pPr>
      <w:r>
        <w:t xml:space="preserve"/>
      </w:r>
    </w:p>
    <w:p>
      <w:pPr>
        <w:pStyle w:val="Heading2"/>
      </w:pPr>
      <w:r>
        <w:rPr>
          <w:rFonts w:ascii="Arial" w:cs="Arial" w:eastAsia="Arial" w:hAnsi="Arial"/>
          <w:b/>
          <w:bCs/>
          <w:color w:val="2E75B6"/>
          <w:sz w:val="28"/>
          <w:szCs w:val="28"/>
        </w:rPr>
        <w:t xml:space="preserve">8.2 Model Limitations</w:t>
      </w:r>
    </w:p>
    <w:p>
      <w:pPr>
        <w:pStyle w:val="ListParagraph"/>
        <w:numPr>
          <w:ilvl w:val="0"/>
          <w:numId w:val="2"/>
        </w:numPr>
        <w:spacing w:after="40" w:before="40"/>
      </w:pPr>
      <w:r>
        <w:rPr>
          <w:rFonts w:ascii="Arial" w:cs="Arial" w:eastAsia="Arial" w:hAnsi="Arial"/>
          <w:sz w:val="24"/>
          <w:szCs w:val="24"/>
        </w:rPr>
        <w:t xml:space="preserve">TF-IDF Representation: The bag-of-words TF-IDF approach captures keyword frequency but loses semantic context, sentence structure, and negation. A transformer-based embedding (BERT, RoBERTa) on incident narratives would likely yield higher predictive power from the text features.</w:t>
      </w:r>
    </w:p>
    <w:p>
      <w:pPr>
        <w:pStyle w:val="ListParagraph"/>
        <w:numPr>
          <w:ilvl w:val="0"/>
          <w:numId w:val="2"/>
        </w:numPr>
        <w:spacing w:after="40" w:before="40"/>
      </w:pPr>
      <w:r>
        <w:rPr>
          <w:rFonts w:ascii="Arial" w:cs="Arial" w:eastAsia="Arial" w:hAnsi="Arial"/>
          <w:sz w:val="24"/>
          <w:szCs w:val="24"/>
        </w:rPr>
        <w:t xml:space="preserve">Feature Leakage Risk: Although dafw_num_away and djtr_num_tr were dropped, the model still contains soc_probability (coding confidence), which partially reflects post-incident administrative processing. In true real-time deployment, some features may not be available at prediction time.</w:t>
      </w:r>
    </w:p>
    <w:p>
      <w:pPr>
        <w:pStyle w:val="ListParagraph"/>
        <w:numPr>
          <w:ilvl w:val="0"/>
          <w:numId w:val="2"/>
        </w:numPr>
        <w:spacing w:after="40" w:before="40"/>
      </w:pPr>
      <w:r>
        <w:rPr>
          <w:rFonts w:ascii="Arial" w:cs="Arial" w:eastAsia="Arial" w:hAnsi="Arial"/>
          <w:sz w:val="24"/>
          <w:szCs w:val="24"/>
        </w:rPr>
        <w:t xml:space="preserve">No Temporal Cross-Validation: A simple random 80/20 split was used. In production, a time-based split (train on Jan–Oct, test on Nov–Dec) would better simulate deployment conditions and prevent temporal data leakage.</w:t>
      </w:r>
    </w:p>
    <w:p>
      <w:pPr>
        <w:pStyle w:val="ListParagraph"/>
        <w:numPr>
          <w:ilvl w:val="0"/>
          <w:numId w:val="2"/>
        </w:numPr>
        <w:spacing w:after="40" w:before="40"/>
      </w:pPr>
      <w:r>
        <w:rPr>
          <w:rFonts w:ascii="Arial" w:cs="Arial" w:eastAsia="Arial" w:hAnsi="Arial"/>
          <w:sz w:val="24"/>
          <w:szCs w:val="24"/>
        </w:rPr>
        <w:t xml:space="preserve">Memory and Scalability: The 586-feature, 683K-record dataset requires 2.7 GB of memory. Inference at scale would require model compression, feature selection, or batch inference infrastructure.</w:t>
      </w:r>
    </w:p>
    <w:p>
      <w:pPr>
        <w:spacing w:after="60" w:before="60"/>
      </w:pPr>
      <w:r>
        <w:t xml:space="preserve"/>
      </w:r>
    </w:p>
    <w:p>
      <w:pPr>
        <w:pStyle w:val="Heading2"/>
      </w:pPr>
      <w:r>
        <w:rPr>
          <w:rFonts w:ascii="Arial" w:cs="Arial" w:eastAsia="Arial" w:hAnsi="Arial"/>
          <w:b/>
          <w:bCs/>
          <w:color w:val="2E75B6"/>
          <w:sz w:val="28"/>
          <w:szCs w:val="28"/>
        </w:rPr>
        <w:t xml:space="preserve">8.3 Enhancements to the Solution</w:t>
      </w:r>
    </w:p>
    <w:p>
      <w:pPr>
        <w:spacing w:after="80" w:before="80"/>
        <w:jc w:val="both"/>
      </w:pPr>
      <w:r>
        <w:rPr>
          <w:rFonts w:ascii="Arial" w:cs="Arial" w:eastAsia="Arial" w:hAnsi="Arial"/>
          <w:sz w:val="24"/>
          <w:szCs w:val="24"/>
        </w:rPr>
        <w:t xml:space="preserve">The following enhancements would materially improve the solution:</w:t>
      </w:r>
    </w:p>
    <w:p>
      <w:pPr>
        <w:pStyle w:val="ListParagraph"/>
        <w:numPr>
          <w:ilvl w:val="0"/>
          <w:numId w:val="3"/>
        </w:numPr>
        <w:spacing w:after="40" w:before="40"/>
      </w:pPr>
      <w:r>
        <w:rPr>
          <w:rFonts w:ascii="Arial" w:cs="Arial" w:eastAsia="Arial" w:hAnsi="Arial"/>
          <w:sz w:val="24"/>
          <w:szCs w:val="24"/>
        </w:rPr>
        <w:t xml:space="preserve">Collect additional Death class records from historical OSHA archives (pre-2024 ITA data) to address the fundamental data scarcity problem.</w:t>
      </w:r>
    </w:p>
    <w:p>
      <w:pPr>
        <w:pStyle w:val="ListParagraph"/>
        <w:numPr>
          <w:ilvl w:val="0"/>
          <w:numId w:val="3"/>
        </w:numPr>
        <w:spacing w:after="40" w:before="40"/>
      </w:pPr>
      <w:r>
        <w:rPr>
          <w:rFonts w:ascii="Arial" w:cs="Arial" w:eastAsia="Arial" w:hAnsi="Arial"/>
          <w:sz w:val="24"/>
          <w:szCs w:val="24"/>
        </w:rPr>
        <w:t xml:space="preserve">Replace TF-IDF with fine-tuned BERT embeddings on incident narratives for richer semantic feature extraction.</w:t>
      </w:r>
    </w:p>
    <w:p>
      <w:pPr>
        <w:pStyle w:val="ListParagraph"/>
        <w:numPr>
          <w:ilvl w:val="0"/>
          <w:numId w:val="3"/>
        </w:numPr>
        <w:spacing w:after="40" w:before="40"/>
      </w:pPr>
      <w:r>
        <w:rPr>
          <w:rFonts w:ascii="Arial" w:cs="Arial" w:eastAsia="Arial" w:hAnsi="Arial"/>
          <w:sz w:val="24"/>
          <w:szCs w:val="24"/>
        </w:rPr>
        <w:t xml:space="preserve">Implement time-based cross-validation to ensure temporal validity of model performance estimates.</w:t>
      </w:r>
    </w:p>
    <w:p>
      <w:pPr>
        <w:pStyle w:val="ListParagraph"/>
        <w:numPr>
          <w:ilvl w:val="0"/>
          <w:numId w:val="3"/>
        </w:numPr>
        <w:spacing w:after="40" w:before="40"/>
      </w:pPr>
      <w:r>
        <w:rPr>
          <w:rFonts w:ascii="Arial" w:cs="Arial" w:eastAsia="Arial" w:hAnsi="Arial"/>
          <w:sz w:val="24"/>
          <w:szCs w:val="24"/>
        </w:rPr>
        <w:t xml:space="preserve">Explore SMOTE or class-conditional data augmentation for the Death minority class.</w:t>
      </w:r>
    </w:p>
    <w:p>
      <w:pPr>
        <w:pStyle w:val="ListParagraph"/>
        <w:numPr>
          <w:ilvl w:val="0"/>
          <w:numId w:val="3"/>
        </w:numPr>
        <w:spacing w:after="40" w:before="40"/>
      </w:pPr>
      <w:r>
        <w:rPr>
          <w:rFonts w:ascii="Arial" w:cs="Arial" w:eastAsia="Arial" w:hAnsi="Arial"/>
          <w:sz w:val="24"/>
          <w:szCs w:val="24"/>
        </w:rPr>
        <w:t xml:space="preserve">Integrate external data: BLS industry injury rates, OSHA inspection/citation history, and BLS fatality census data.</w:t>
      </w:r>
    </w:p>
    <w:p>
      <w:pPr>
        <w:pStyle w:val="ListParagraph"/>
        <w:numPr>
          <w:ilvl w:val="0"/>
          <w:numId w:val="3"/>
        </w:numPr>
        <w:spacing w:after="40" w:before="40"/>
      </w:pPr>
      <w:r>
        <w:rPr>
          <w:rFonts w:ascii="Arial" w:cs="Arial" w:eastAsia="Arial" w:hAnsi="Arial"/>
          <w:sz w:val="24"/>
          <w:szCs w:val="24"/>
        </w:rPr>
        <w:t xml:space="preserve">Build a post-prediction explainability layer using SHAP (SHapley Additive exPlanations) to identify the top contributing features for each predicted outcome.</w:t>
      </w:r>
    </w:p>
    <w:p>
      <w:pPr>
        <w:spacing w:after="60" w:before="60"/>
      </w:pPr>
      <w:r>
        <w:t xml:space="preserve"/>
      </w:r>
    </w:p>
    <w:p>
      <w:r>
        <w:br w:type="page"/>
      </w:r>
    </w:p>
    <w:p>
      <w:pPr>
        <w:pStyle w:val="Heading1"/>
      </w:pPr>
      <w:r>
        <w:rPr>
          <w:rFonts w:ascii="Arial" w:cs="Arial" w:eastAsia="Arial" w:hAnsi="Arial"/>
          <w:b/>
          <w:bCs/>
          <w:color w:val="1F4E79"/>
          <w:sz w:val="36"/>
          <w:szCs w:val="36"/>
        </w:rPr>
        <w:t xml:space="preserve">9. Closing Reflections</w:t>
      </w:r>
    </w:p>
    <w:p>
      <w:pPr>
        <w:pStyle w:val="Heading2"/>
      </w:pPr>
      <w:r>
        <w:rPr>
          <w:rFonts w:ascii="Arial" w:cs="Arial" w:eastAsia="Arial" w:hAnsi="Arial"/>
          <w:b/>
          <w:bCs/>
          <w:color w:val="2E75B6"/>
          <w:sz w:val="28"/>
          <w:szCs w:val="28"/>
        </w:rPr>
        <w:t xml:space="preserve">9.1 Key Learnings</w:t>
      </w:r>
    </w:p>
    <w:p>
      <w:pPr>
        <w:spacing w:after="80" w:before="80"/>
        <w:jc w:val="both"/>
      </w:pPr>
      <w:r>
        <w:rPr>
          <w:rFonts w:ascii="Arial" w:cs="Arial" w:eastAsia="Arial" w:hAnsi="Arial"/>
          <w:sz w:val="24"/>
          <w:szCs w:val="24"/>
        </w:rPr>
        <w:t xml:space="preserve">This project provided several important technical and domain-specific lessons:</w:t>
      </w:r>
    </w:p>
    <w:p>
      <w:pPr>
        <w:spacing w:after="60" w:before="60"/>
      </w:pPr>
      <w:r>
        <w:t xml:space="preserve"/>
      </w:r>
    </w:p>
    <w:p>
      <w:pPr>
        <w:spacing w:after="80" w:before="80"/>
        <w:jc w:val="both"/>
      </w:pPr>
      <w:r>
        <w:rPr>
          <w:rFonts w:ascii="Arial" w:cs="Arial" w:eastAsia="Arial" w:hAnsi="Arial"/>
          <w:b/>
          <w:bCs/>
          <w:sz w:val="24"/>
          <w:szCs w:val="24"/>
        </w:rPr>
        <w:t xml:space="preserve">Imbalanced Classification is Deceptive: </w:t>
      </w:r>
      <w:r>
        <w:rPr>
          <w:rFonts w:ascii="Arial" w:cs="Arial" w:eastAsia="Arial" w:hAnsi="Arial"/>
          <w:sz w:val="24"/>
          <w:szCs w:val="24"/>
        </w:rPr>
        <w:t xml:space="preserve">A model achieving 83% accuracy on this dataset is not necessarily a good model — a naïve classifier that always predicts "Other Case" would achieve ~34% accuracy, but the Death class (the most critical) would go completely undetected. MCC and per-class F1 are far more informative than accuracy for imbalanced multi-class problems.</w:t>
      </w:r>
    </w:p>
    <w:p>
      <w:pPr>
        <w:spacing w:after="60" w:before="60"/>
      </w:pPr>
      <w:r>
        <w:t xml:space="preserve"/>
      </w:r>
    </w:p>
    <w:p>
      <w:pPr>
        <w:spacing w:after="80" w:before="80"/>
        <w:jc w:val="both"/>
      </w:pPr>
      <w:r>
        <w:rPr>
          <w:rFonts w:ascii="Arial" w:cs="Arial" w:eastAsia="Arial" w:hAnsi="Arial"/>
          <w:b/>
          <w:bCs/>
          <w:sz w:val="24"/>
          <w:szCs w:val="24"/>
        </w:rPr>
        <w:t xml:space="preserve">Data Quality Investment Pays Off: </w:t>
      </w:r>
      <w:r>
        <w:rPr>
          <w:rFonts w:ascii="Arial" w:cs="Arial" w:eastAsia="Arial" w:hAnsi="Arial"/>
          <w:sz w:val="24"/>
          <w:szCs w:val="24"/>
        </w:rPr>
        <w:t xml:space="preserve">The preprocessing phase — particularly the NAICS-to-industry imputation strategy, the time column parsing pipeline, and the log transformation of skewed variables — significantly improved model performance over simply passing raw data to the model. Feature engineering often matters more than algorithm selection.</w:t>
      </w:r>
    </w:p>
    <w:p>
      <w:pPr>
        <w:spacing w:after="60" w:before="60"/>
      </w:pPr>
      <w:r>
        <w:t xml:space="preserve"/>
      </w:r>
    </w:p>
    <w:p>
      <w:pPr>
        <w:spacing w:after="80" w:before="80"/>
        <w:jc w:val="both"/>
      </w:pPr>
      <w:r>
        <w:rPr>
          <w:rFonts w:ascii="Arial" w:cs="Arial" w:eastAsia="Arial" w:hAnsi="Arial"/>
          <w:b/>
          <w:bCs/>
          <w:sz w:val="24"/>
          <w:szCs w:val="24"/>
        </w:rPr>
        <w:t xml:space="preserve">Text Features Add Meaningful Signal: </w:t>
      </w:r>
      <w:r>
        <w:rPr>
          <w:rFonts w:ascii="Arial" w:cs="Arial" w:eastAsia="Arial" w:hAnsi="Arial"/>
          <w:sz w:val="24"/>
          <w:szCs w:val="24"/>
        </w:rPr>
        <w:t xml:space="preserve">Incorporating TF-IDF features from the seven narrative columns improved model performance over structured features alone. Incident narratives contain domain-specific vocabulary (e.g., "patient," "forklift," "repetitive") that directly encodes the type and severity of the incident.</w:t>
      </w:r>
    </w:p>
    <w:p>
      <w:pPr>
        <w:spacing w:after="60" w:before="60"/>
      </w:pPr>
      <w:r>
        <w:t xml:space="preserve"/>
      </w:r>
    </w:p>
    <w:p>
      <w:pPr>
        <w:spacing w:after="80" w:before="80"/>
        <w:jc w:val="both"/>
      </w:pPr>
      <w:r>
        <w:rPr>
          <w:rFonts w:ascii="Arial" w:cs="Arial" w:eastAsia="Arial" w:hAnsi="Arial"/>
          <w:b/>
          <w:bCs/>
          <w:sz w:val="24"/>
          <w:szCs w:val="24"/>
        </w:rPr>
        <w:t xml:space="preserve">Algorithm Selection Must Reflect Domain Priorities: </w:t>
      </w:r>
      <w:r>
        <w:rPr>
          <w:rFonts w:ascii="Arial" w:cs="Arial" w:eastAsia="Arial" w:hAnsi="Arial"/>
          <w:sz w:val="24"/>
          <w:szCs w:val="24"/>
        </w:rPr>
        <w:t xml:space="preserve">XGBoost outperformed LightGBM on raw accuracy but was disqualified for the most important real-world requirement: detecting fatal incidents. In safety-critical ML applications, domain-aware evaluation criteria must take precedence over aggregate performance metrics.</w:t>
      </w:r>
    </w:p>
    <w:p>
      <w:pPr>
        <w:spacing w:after="60" w:before="60"/>
      </w:pPr>
      <w:r>
        <w:t xml:space="preserve"/>
      </w:r>
    </w:p>
    <w:p>
      <w:pPr>
        <w:spacing w:after="80" w:before="80"/>
        <w:jc w:val="both"/>
      </w:pPr>
      <w:r>
        <w:rPr>
          <w:rFonts w:ascii="Arial" w:cs="Arial" w:eastAsia="Arial" w:hAnsi="Arial"/>
          <w:b/>
          <w:bCs/>
          <w:sz w:val="24"/>
          <w:szCs w:val="24"/>
        </w:rPr>
        <w:t xml:space="preserve">Scale Demands Engineering Discipline: </w:t>
      </w:r>
      <w:r>
        <w:rPr>
          <w:rFonts w:ascii="Arial" w:cs="Arial" w:eastAsia="Arial" w:hAnsi="Arial"/>
          <w:sz w:val="24"/>
          <w:szCs w:val="24"/>
        </w:rPr>
        <w:t xml:space="preserve">Working with 683K records, 586 features, and 2.7 GB of sparse data required careful memory management (sparse dtypes), efficient vectorization (TF-IDF with sparse matrix), and appropriate algorithm choices (LightGBM over SVM or neural networks for this scale).</w:t>
      </w:r>
    </w:p>
    <w:p>
      <w:pPr>
        <w:spacing w:after="60" w:before="60"/>
      </w:pPr>
      <w:r>
        <w:t xml:space="preserve"/>
      </w:r>
    </w:p>
    <w:p>
      <w:pPr>
        <w:pStyle w:val="Heading2"/>
      </w:pPr>
      <w:r>
        <w:rPr>
          <w:rFonts w:ascii="Arial" w:cs="Arial" w:eastAsia="Arial" w:hAnsi="Arial"/>
          <w:b/>
          <w:bCs/>
          <w:color w:val="2E75B6"/>
          <w:sz w:val="28"/>
          <w:szCs w:val="28"/>
        </w:rPr>
        <w:t xml:space="preserve">9.2 What Would Be Done Differently</w:t>
      </w:r>
    </w:p>
    <w:p>
      <w:pPr>
        <w:pStyle w:val="ListParagraph"/>
        <w:numPr>
          <w:ilvl w:val="0"/>
          <w:numId w:val="2"/>
        </w:numPr>
        <w:spacing w:after="40" w:before="40"/>
      </w:pPr>
      <w:r>
        <w:rPr>
          <w:rFonts w:ascii="Arial" w:cs="Arial" w:eastAsia="Arial" w:hAnsi="Arial"/>
          <w:sz w:val="24"/>
          <w:szCs w:val="24"/>
        </w:rPr>
        <w:t xml:space="preserve">Start with time-based validation splits to avoid temporal leakage and ensure realistic performance estimates.</w:t>
      </w:r>
    </w:p>
    <w:p>
      <w:pPr>
        <w:pStyle w:val="ListParagraph"/>
        <w:numPr>
          <w:ilvl w:val="0"/>
          <w:numId w:val="2"/>
        </w:numPr>
        <w:spacing w:after="40" w:before="40"/>
      </w:pPr>
      <w:r>
        <w:rPr>
          <w:rFonts w:ascii="Arial" w:cs="Arial" w:eastAsia="Arial" w:hAnsi="Arial"/>
          <w:sz w:val="24"/>
          <w:szCs w:val="24"/>
        </w:rPr>
        <w:t xml:space="preserve">Allocate more effort to SHAP-based feature importance analysis earlier in the project to understand which features drive predictions and identify potential leakage.</w:t>
      </w:r>
    </w:p>
    <w:p>
      <w:pPr>
        <w:pStyle w:val="ListParagraph"/>
        <w:numPr>
          <w:ilvl w:val="0"/>
          <w:numId w:val="2"/>
        </w:numPr>
        <w:spacing w:after="40" w:before="40"/>
      </w:pPr>
      <w:r>
        <w:rPr>
          <w:rFonts w:ascii="Arial" w:cs="Arial" w:eastAsia="Arial" w:hAnsi="Arial"/>
          <w:sz w:val="24"/>
          <w:szCs w:val="24"/>
        </w:rPr>
        <w:t xml:space="preserve">Experiment with BERT or sentence transformers on the narrative text columns from the beginning, as TF-IDF, while computationally efficient, fundamentally limits the semantic richness of text features.</w:t>
      </w:r>
    </w:p>
    <w:p>
      <w:pPr>
        <w:pStyle w:val="ListParagraph"/>
        <w:numPr>
          <w:ilvl w:val="0"/>
          <w:numId w:val="2"/>
        </w:numPr>
        <w:spacing w:after="40" w:before="40"/>
      </w:pPr>
      <w:r>
        <w:rPr>
          <w:rFonts w:ascii="Arial" w:cs="Arial" w:eastAsia="Arial" w:hAnsi="Arial"/>
          <w:sz w:val="24"/>
          <w:szCs w:val="24"/>
        </w:rPr>
        <w:t xml:space="preserve">Build a proper model registry and experiment tracking system (e.g., MLflow) to systematically compare all model variants rather than manually logging results.</w:t>
      </w:r>
    </w:p>
    <w:p>
      <w:pPr>
        <w:pStyle w:val="ListParagraph"/>
        <w:numPr>
          <w:ilvl w:val="0"/>
          <w:numId w:val="2"/>
        </w:numPr>
        <w:spacing w:after="40" w:before="40"/>
      </w:pPr>
      <w:r>
        <w:rPr>
          <w:rFonts w:ascii="Arial" w:cs="Arial" w:eastAsia="Arial" w:hAnsi="Arial"/>
          <w:sz w:val="24"/>
          <w:szCs w:val="24"/>
        </w:rPr>
        <w:t xml:space="preserve">Engage domain experts (occupational health professionals, OSHA staff) earlier to validate feature engineering decisions and prioritize what “success” means in the safety domain.</w:t>
      </w:r>
    </w:p>
    <w:p>
      <w:pPr>
        <w:pStyle w:val="ListParagraph"/>
        <w:numPr>
          <w:ilvl w:val="0"/>
          <w:numId w:val="2"/>
        </w:numPr>
        <w:spacing w:after="40" w:before="40"/>
      </w:pPr>
      <w:r>
        <w:rPr>
          <w:rFonts w:ascii="Arial" w:cs="Arial" w:eastAsia="Arial" w:hAnsi="Arial"/>
          <w:sz w:val="24"/>
          <w:szCs w:val="24"/>
        </w:rPr>
        <w:t xml:space="preserve">Explore multi-label framing: some incidents involve both days away AND job transfer/restriction; a multi-label approach might better capture the real-world complexity.</w:t>
      </w:r>
    </w:p>
    <w:p>
      <w:pPr>
        <w:spacing w:after="60" w:before="60"/>
      </w:pPr>
      <w:r>
        <w:t xml:space="preserve"/>
      </w:r>
    </w:p>
    <w:p>
      <w:pPr>
        <w:spacing w:after="60" w:before="60"/>
      </w:pPr>
      <w:r>
        <w:t xml:space="preserve"/>
      </w:r>
    </w:p>
    <w:p>
      <w:pPr>
        <w:pBdr>
          <w:top w:val="single" w:color="2E75B6" w:sz="6" w:space="4"/>
        </w:pBdr>
        <w:spacing w:after="100" w:before="400"/>
        <w:jc w:val="center"/>
      </w:pPr>
      <w:r>
        <w:rPr>
          <w:rFonts w:ascii="Arial" w:cs="Arial" w:eastAsia="Arial" w:hAnsi="Arial"/>
          <w:i/>
          <w:iCs/>
          <w:color w:val="555555"/>
          <w:sz w:val="24"/>
          <w:szCs w:val="24"/>
        </w:rPr>
        <w:t xml:space="preserve">— End of Final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20"/>
        <w:szCs w:val="20"/>
      </w:rPr>
      <w:t xml:space="preserve">Page </w:t>
    </w:r>
    <w:r>
      <w:rPr>
        <w:rFonts w:ascii="Arial" w:cs="Arial" w:eastAsia="Arial" w:hAnsi="Arial"/>
        <w:color w:val="888888"/>
        <w:sz w:val="20"/>
        <w:szCs w:val="20"/>
      </w:rPr>
      <w:fldChar w:fldCharType="begin"/>
      <w:instrText xml:space="preserve">PAGE</w:instrText>
      <w:fldChar w:fldCharType="separate"/>
      <w:fldChar w:fldCharType="end"/>
    </w:r>
    <w:r>
      <w:rPr>
        <w:rFonts w:ascii="Arial" w:cs="Arial" w:eastAsia="Arial" w:hAnsi="Arial"/>
        <w:color w:val="888888"/>
        <w:sz w:val="20"/>
        <w:szCs w:val="20"/>
      </w:rPr>
      <w:t xml:space="preserve"> of </w:t>
    </w:r>
    <w:r>
      <w:rPr>
        <w:rFonts w:ascii="Arial" w:cs="Arial" w:eastAsia="Arial" w:hAnsi="Arial"/>
        <w:color w:val="888888"/>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2E75B6"/>
        <w:sz w:val="20"/>
        <w:szCs w:val="20"/>
      </w:rPr>
      <w:t xml:space="preserve">Workplace Injury Outcome Prediction — Final Report</w:t>
    </w:r>
    <w:r>
      <w:rPr>
        <w:rFonts w:ascii="Arial" w:cs="Arial" w:eastAsia="Arial" w:hAnsi="Arial"/>
        <w:color w:val="888888"/>
        <w:sz w:val="20"/>
        <w:szCs w:val="20"/>
      </w:rPr>
      <w:t xml:space="preserve">		2025 | OSHA ITA Dataset | LightGBM Final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1"/>
      </w:pBd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2026-04-06T07:58:17.609Z</dcterms:created>
  <dcterms:modified xsi:type="dcterms:W3CDTF">2026-04-06T07:58:17.610Z</dcterms:modified>
</cp:coreProperties>
</file>

<file path=docProps/custom.xml><?xml version="1.0" encoding="utf-8"?>
<Properties xmlns="http://schemas.openxmlformats.org/officeDocument/2006/custom-properties" xmlns:vt="http://schemas.openxmlformats.org/officeDocument/2006/docPropsVTypes"/>
</file>