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00"/>
        <w:jc w:val="center"/>
      </w:pPr>
      <w:r>
        <w:rPr>
          <w:rFonts w:ascii="Arial" w:cs="Arial" w:eastAsia="Arial" w:hAnsi="Arial"/>
          <w:b/>
          <w:bCs/>
          <w:caps/>
          <w:color w:val="4f46e5"/>
          <w:sz w:val="20"/>
          <w:szCs w:val="20"/>
        </w:rPr>
        <w:t xml:space="preserve">CONTENT SAAS PLATFORM</w:t>
      </w:r>
    </w:p>
    <w:p>
      <w:pPr>
        <w:spacing w:before="0" w:after="40"/>
        <w:jc w:val="center"/>
      </w:pPr>
      <w:r>
        <w:rPr>
          <w:rFonts w:ascii="Arial" w:cs="Arial" w:eastAsia="Arial" w:hAnsi="Arial"/>
          <w:b/>
          <w:bCs/>
          <w:color w:val="1a1a2e"/>
          <w:sz w:val="52"/>
          <w:szCs w:val="52"/>
        </w:rPr>
        <w:t xml:space="preserve">Product Improvement &amp;</w:t>
      </w:r>
    </w:p>
    <w:p>
      <w:pPr>
        <w:spacing w:before="0" w:after="200"/>
        <w:jc w:val="center"/>
      </w:pPr>
      <w:r>
        <w:rPr>
          <w:rFonts w:ascii="Arial" w:cs="Arial" w:eastAsia="Arial" w:hAnsi="Arial"/>
          <w:b/>
          <w:bCs/>
          <w:color w:val="4f46e5"/>
          <w:sz w:val="52"/>
          <w:szCs w:val="52"/>
        </w:rPr>
        <w:t xml:space="preserve">Feature Roadmap</w:t>
      </w:r>
    </w:p>
    <w:p>
      <w:pPr>
        <w:pBdr>
          <w:bottom w:val="single" w:color="e5e7eb" w:sz="4" w:space="1"/>
        </w:pBdr>
        <w:spacing w:before="0" w:after="200"/>
        <w:jc w:val="center"/>
      </w:pPr>
      <w:r>
        <w:rPr>
          <w:rFonts w:ascii="Arial" w:cs="Arial" w:eastAsia="Arial" w:hAnsi="Arial"/>
          <w:sz w:val="22"/>
          <w:szCs w:val="22"/>
        </w:rPr>
        <w:t xml:space="preserve"> </w:t>
      </w:r>
    </w:p>
    <w:p>
      <w:pPr>
        <w:spacing w:before="0" w:after="80"/>
        <w:jc w:val="center"/>
      </w:pPr>
      <w:r>
        <w:rPr>
          <w:rFonts w:ascii="Arial" w:cs="Arial" w:eastAsia="Arial" w:hAnsi="Arial"/>
          <w:color w:val="6b7280"/>
          <w:sz w:val="22"/>
          <w:szCs w:val="22"/>
        </w:rPr>
        <w:t xml:space="preserve">26 features across 3 phases  •  6 categories  •  18-month horizon</w:t>
      </w:r>
    </w:p>
    <w:p>
      <w:pPr>
        <w:spacing w:before="0" w:after="600"/>
        <w:jc w:val="center"/>
      </w:pPr>
      <w:r>
        <w:rPr>
          <w:rFonts w:ascii="Arial" w:cs="Arial" w:eastAsia="Arial" w:hAnsi="Arial"/>
          <w:color w:val="6b7280"/>
          <w:sz w:val="20"/>
          <w:szCs w:val="20"/>
        </w:rPr>
        <w:t xml:space="preserve">Prepared for internal strategy review  •  2026</w:t>
      </w:r>
    </w:p>
    <w:p>
      <w:pPr>
        <w:pStyle w:val="Heading1"/>
        <w:pBdr>
          <w:bottom w:val="single" w:color="4f46e5" w:sz="6" w:space="1"/>
        </w:pBdr>
        <w:spacing w:before="400" w:after="200"/>
      </w:pPr>
      <w:r>
        <w:rPr>
          <w:rFonts w:ascii="Arial" w:cs="Arial" w:eastAsia="Arial" w:hAnsi="Arial"/>
          <w:b/>
          <w:bCs/>
          <w:color w:val="1a1a2e"/>
          <w:sz w:val="36"/>
          <w:szCs w:val="36"/>
        </w:rPr>
        <w:t xml:space="preserve">Executive Summary</w:t>
      </w:r>
    </w:p>
    <w:p>
      <w:pPr>
        <w:spacing w:before="60" w:after="80"/>
        <w:jc w:val="left"/>
      </w:pPr>
      <w:r>
        <w:rPr>
          <w:rFonts w:ascii="Arial" w:cs="Arial" w:eastAsia="Arial" w:hAnsi="Arial"/>
          <w:b w:val="false"/>
          <w:bCs w:val="false"/>
          <w:color w:val="374151"/>
          <w:sz w:val="22"/>
          <w:szCs w:val="22"/>
        </w:rPr>
        <w:t xml:space="preserve">This document outlines a comprehensive improvement and feature roadmap for our content SaaS platform — a tool that currently generates hooks, titles, captions, ideas, and CTAs. The roadmap is structured across three strategic phases designed to first close gaps with the market, then build defensible moats, and ultimately establish leadership in the creator and marketing content space.</w:t>
      </w:r>
    </w:p>
    <w:p>
      <w:pPr>
        <w:spacing w:before="80" w:after="0"/>
      </w:pPr>
      <w:r>
        <w:t xml:space="preserve"/>
      </w:r>
    </w:p>
    <w:p>
      <w:pPr>
        <w:spacing w:before="60" w:after="80"/>
        <w:jc w:val="left"/>
      </w:pPr>
      <w:r>
        <w:rPr>
          <w:rFonts w:ascii="Arial" w:cs="Arial" w:eastAsia="Arial" w:hAnsi="Arial"/>
          <w:b w:val="false"/>
          <w:bCs w:val="false"/>
          <w:color w:val="374151"/>
          <w:sz w:val="22"/>
          <w:szCs w:val="22"/>
        </w:rPr>
        <w:t xml:space="preserve">The 26 features documented here span six categories: AI &amp; Intelligence, UX &amp; Workflow, Analytics, Platform &amp; Integrations, Collaboration, and Monetisation. Each feature includes a description, business rationale, impact rating, and phase placement.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6"/>
              <w:bottom w:val="single" w:color="4f46e5" w:sz="1"/>
              <w:right w:val="single" w:color="4f46e5" w:sz="1"/>
            </w:tcBorders>
            <w:shd w:fill="e0e7ff" w:val="clear"/>
            <w:tcMar>
              <w:top w:type="dxa" w:w="140"/>
              <w:left w:type="dxa" w:w="200"/>
              <w:bottom w:type="dxa" w:w="140"/>
              <w:right w:type="dxa" w:w="200"/>
            </w:tcMar>
          </w:tcPr>
          <w:p>
            <w:pPr>
              <w:spacing w:before="0" w:after="100"/>
            </w:pPr>
            <w:r>
              <w:rPr>
                <w:rFonts w:ascii="Arial" w:cs="Arial" w:eastAsia="Arial" w:hAnsi="Arial"/>
                <w:b/>
                <w:bCs/>
                <w:color w:val="4f46e5"/>
                <w:sz w:val="23"/>
                <w:szCs w:val="23"/>
              </w:rPr>
              <w:t xml:space="preserve">Three strategic priorities</w:t>
            </w:r>
          </w:p>
          <w:p>
            <w:pPr>
              <w:pStyle w:val="ListParagraph"/>
              <w:numPr>
                <w:ilvl w:val="0"/>
                <w:numId w:val="2"/>
              </w:numPr>
              <w:spacing w:before="40" w:after="40"/>
            </w:pPr>
            <w:r>
              <w:rPr>
                <w:rFonts w:ascii="Arial" w:cs="Arial" w:eastAsia="Arial" w:hAnsi="Arial"/>
                <w:color w:val="374151"/>
                <w:sz w:val="20"/>
                <w:szCs w:val="20"/>
              </w:rPr>
              <w:t xml:space="preserve">Retention first — eliminate the friction points (no history, no brand consistency, no platform awareness) that cause silent churn before any growth investment.</w:t>
            </w:r>
          </w:p>
          <w:p>
            <w:pPr>
              <w:pStyle w:val="ListParagraph"/>
              <w:numPr>
                <w:ilvl w:val="0"/>
                <w:numId w:val="2"/>
              </w:numPr>
              <w:spacing w:before="40" w:after="40"/>
            </w:pPr>
            <w:r>
              <w:rPr>
                <w:rFonts w:ascii="Arial" w:cs="Arial" w:eastAsia="Arial" w:hAnsi="Arial"/>
                <w:color w:val="374151"/>
                <w:sz w:val="20"/>
                <w:szCs w:val="20"/>
              </w:rPr>
              <w:t xml:space="preserve">Build the moat — features like AI learning from edits and performance analytics create compounding lock-in that makes switching painful.</w:t>
            </w:r>
          </w:p>
          <w:p>
            <w:pPr>
              <w:pStyle w:val="ListParagraph"/>
              <w:numPr>
                <w:ilvl w:val="0"/>
                <w:numId w:val="2"/>
              </w:numPr>
              <w:spacing w:before="40" w:after="40"/>
            </w:pPr>
            <w:r>
              <w:rPr>
                <w:rFonts w:ascii="Arial" w:cs="Arial" w:eastAsia="Arial" w:hAnsi="Arial"/>
                <w:color w:val="374151"/>
                <w:sz w:val="20"/>
                <w:szCs w:val="20"/>
              </w:rPr>
              <w:t xml:space="preserve">Scale to B2B — team workspaces, API access, and white-labelling unlock enterprise revenue that is 10–50x higher per customer than individual subscriptions.</w:t>
            </w:r>
          </w:p>
        </w:tc>
      </w:tr>
    </w:tbl>
    <w:p>
      <w:pPr>
        <w:spacing w:before="200" w:after="0"/>
      </w:pPr>
      <w:r>
        <w:t xml:space="preserve"/>
      </w:r>
    </w:p>
    <w:p>
      <w:pPr>
        <w:pStyle w:val="Heading1"/>
        <w:pBdr>
          <w:bottom w:val="single" w:color="4f46e5" w:sz="6" w:space="1"/>
        </w:pBdr>
        <w:spacing w:before="400" w:after="200"/>
      </w:pPr>
      <w:r>
        <w:rPr>
          <w:rFonts w:ascii="Arial" w:cs="Arial" w:eastAsia="Arial" w:hAnsi="Arial"/>
          <w:b/>
          <w:bCs/>
          <w:color w:val="1a1a2e"/>
          <w:sz w:val="36"/>
          <w:szCs w:val="36"/>
        </w:rPr>
        <w:t xml:space="preserve">Phase Overview</w:t>
      </w:r>
    </w:p>
    <w:p>
      <w:pPr>
        <w:spacing w:before="60" w:after="80"/>
        <w:jc w:val="left"/>
      </w:pPr>
      <w:r>
        <w:rPr>
          <w:rFonts w:ascii="Arial" w:cs="Arial" w:eastAsia="Arial" w:hAnsi="Arial"/>
          <w:b w:val="false"/>
          <w:bCs w:val="false"/>
          <w:color w:val="374151"/>
          <w:sz w:val="22"/>
          <w:szCs w:val="22"/>
        </w:rPr>
        <w:t xml:space="preserve">The roadmap is divided into three phases, each building on the last. Phase 1 establishes a strong foundation by eliminating the most common churn triggers. Phase 2 introduces the features that turn the product into a genuine platform. Phase 3 positions the company as a market leader with enterprise-grade capabilities and network effects.</w:t>
      </w:r>
    </w:p>
    <w:p>
      <w:pPr>
        <w:spacing w:before="120" w:after="0"/>
      </w:pPr>
      <w:r>
        <w:t xml:space="preserve"/>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before="0" w:after="60"/>
            </w:pPr>
            <w:r>
              <w:rPr>
                <w:rFonts w:ascii="Arial" w:cs="Arial" w:eastAsia="Arial" w:hAnsi="Arial"/>
                <w:b/>
                <w:bCs/>
                <w:color w:val="059669"/>
                <w:sz w:val="26"/>
                <w:szCs w:val="26"/>
              </w:rPr>
              <w:t xml:space="preserve">Phase 1: </w:t>
            </w:r>
            <w:r>
              <w:rPr>
                <w:rFonts w:ascii="Arial" w:cs="Arial" w:eastAsia="Arial" w:hAnsi="Arial"/>
                <w:b/>
                <w:bCs/>
                <w:color w:val="1a1a2e"/>
                <w:sz w:val="26"/>
                <w:szCs w:val="26"/>
              </w:rPr>
              <w:t xml:space="preserve">Quick Wins</w:t>
            </w:r>
            <w:r>
              <w:rPr>
                <w:rFonts w:ascii="Arial" w:cs="Arial" w:eastAsia="Arial" w:hAnsi="Arial"/>
                <w:color w:val="6b7280"/>
                <w:sz w:val="22"/>
                <w:szCs w:val="22"/>
              </w:rPr>
              <w:t xml:space="preserve">   |   0 – 3 Months</w:t>
            </w:r>
          </w:p>
          <w:p>
            <w:pPr>
              <w:spacing w:before="0" w:after="0"/>
            </w:pPr>
            <w:r>
              <w:rPr>
                <w:rFonts w:ascii="Arial" w:cs="Arial" w:eastAsia="Arial" w:hAnsi="Arial"/>
                <w:color w:val="4b5563"/>
                <w:sz w:val="21"/>
                <w:szCs w:val="21"/>
              </w:rPr>
              <w:t xml:space="preserve">Close gaps with competitors, eliminate churn triggers, and dramatically increase perceived value with minimal engineering effort.</w:t>
            </w:r>
          </w:p>
        </w:tc>
      </w:tr>
    </w:tbl>
    <w:p>
      <w:pPr>
        <w:spacing w:before="120" w:after="0"/>
      </w:pPr>
      <w:r>
        <w:t xml:space="preserve"/>
      </w:r>
    </w:p>
    <w:tbl>
      <w:tblPr>
        <w:tblW w:type="dxa" w:w="9360"/>
        <w:tblBorders>
          <w:top w:val="single" w:color="7c3aed" w:sz="1"/>
          <w:left w:val="single" w:color="7c3aed" w:sz="12"/>
          <w:bottom w:val="single" w:color="7c3aed" w:sz="1"/>
          <w:right w:val="single" w:color="7c3ae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before="0" w:after="60"/>
            </w:pPr>
            <w:r>
              <w:rPr>
                <w:rFonts w:ascii="Arial" w:cs="Arial" w:eastAsia="Arial" w:hAnsi="Arial"/>
                <w:b/>
                <w:bCs/>
                <w:color w:val="7c3aed"/>
                <w:sz w:val="26"/>
                <w:szCs w:val="26"/>
              </w:rPr>
              <w:t xml:space="preserve">Phase 2: </w:t>
            </w:r>
            <w:r>
              <w:rPr>
                <w:rFonts w:ascii="Arial" w:cs="Arial" w:eastAsia="Arial" w:hAnsi="Arial"/>
                <w:b/>
                <w:bCs/>
                <w:color w:val="1a1a2e"/>
                <w:sz w:val="26"/>
                <w:szCs w:val="26"/>
              </w:rPr>
              <w:t xml:space="preserve">Core Differentiators</w:t>
            </w:r>
            <w:r>
              <w:rPr>
                <w:rFonts w:ascii="Arial" w:cs="Arial" w:eastAsia="Arial" w:hAnsi="Arial"/>
                <w:color w:val="6b7280"/>
                <w:sz w:val="22"/>
                <w:szCs w:val="22"/>
              </w:rPr>
              <w:t xml:space="preserve">   |   3 – 8 Months</w:t>
            </w:r>
          </w:p>
          <w:p>
            <w:pPr>
              <w:spacing w:before="0" w:after="0"/>
            </w:pPr>
            <w:r>
              <w:rPr>
                <w:rFonts w:ascii="Arial" w:cs="Arial" w:eastAsia="Arial" w:hAnsi="Arial"/>
                <w:color w:val="4b5563"/>
                <w:sz w:val="21"/>
                <w:szCs w:val="21"/>
              </w:rPr>
              <w:t xml:space="preserve">Build the features that make switching painful. Introduce B2B capabilities, deep integrations, and performance intelligence.</w:t>
            </w:r>
          </w:p>
        </w:tc>
      </w:tr>
    </w:tbl>
    <w:p>
      <w:pPr>
        <w:spacing w:before="120" w:after="0"/>
      </w:pPr>
      <w:r>
        <w:t xml:space="preserve"/>
      </w:r>
    </w:p>
    <w:tbl>
      <w:tblPr>
        <w:tblW w:type="dxa" w:w="9360"/>
        <w:tblBorders>
          <w:top w:val="single" w:color="d97706" w:sz="1"/>
          <w:left w:val="single" w:color="d97706" w:sz="12"/>
          <w:bottom w:val="single" w:color="d97706" w:sz="1"/>
          <w:right w:val="single" w:color="d9770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before="0" w:after="60"/>
            </w:pPr>
            <w:r>
              <w:rPr>
                <w:rFonts w:ascii="Arial" w:cs="Arial" w:eastAsia="Arial" w:hAnsi="Arial"/>
                <w:b/>
                <w:bCs/>
                <w:color w:val="d97706"/>
                <w:sz w:val="26"/>
                <w:szCs w:val="26"/>
              </w:rPr>
              <w:t xml:space="preserve">Phase 3: </w:t>
            </w:r>
            <w:r>
              <w:rPr>
                <w:rFonts w:ascii="Arial" w:cs="Arial" w:eastAsia="Arial" w:hAnsi="Arial"/>
                <w:b/>
                <w:bCs/>
                <w:color w:val="1a1a2e"/>
                <w:sz w:val="26"/>
                <w:szCs w:val="26"/>
              </w:rPr>
              <w:t xml:space="preserve">Market Leadership</w:t>
            </w:r>
            <w:r>
              <w:rPr>
                <w:rFonts w:ascii="Arial" w:cs="Arial" w:eastAsia="Arial" w:hAnsi="Arial"/>
                <w:color w:val="6b7280"/>
                <w:sz w:val="22"/>
                <w:szCs w:val="22"/>
              </w:rPr>
              <w:t xml:space="preserve">   |   8 – 18 Months</w:t>
            </w:r>
          </w:p>
          <w:p>
            <w:pPr>
              <w:spacing w:before="0" w:after="0"/>
            </w:pPr>
            <w:r>
              <w:rPr>
                <w:rFonts w:ascii="Arial" w:cs="Arial" w:eastAsia="Arial" w:hAnsi="Arial"/>
                <w:color w:val="4b5563"/>
                <w:sz w:val="21"/>
                <w:szCs w:val="21"/>
              </w:rPr>
              <w:t xml:space="preserve">Establish category leadership with AI-driven intelligence, marketplace network effects, and enterprise API infrastructure.</w:t>
            </w:r>
          </w:p>
        </w:tc>
      </w:tr>
    </w:tbl>
    <w:p>
      <w:pPr>
        <w:spacing w:before="200" w:after="0"/>
      </w:pPr>
      <w:r>
        <w:t xml:space="preserve"/>
      </w:r>
    </w:p>
    <w:p>
      <w:pPr>
        <w:pStyle w:val="Heading1"/>
        <w:pBdr>
          <w:bottom w:val="single" w:color="4f46e5" w:sz="6" w:space="1"/>
        </w:pBdr>
        <w:spacing w:before="400" w:after="200"/>
      </w:pPr>
      <w:r>
        <w:rPr>
          <w:rFonts w:ascii="Arial" w:cs="Arial" w:eastAsia="Arial" w:hAnsi="Arial"/>
          <w:b/>
          <w:bCs/>
          <w:color w:val="1a1a2e"/>
          <w:sz w:val="36"/>
          <w:szCs w:val="36"/>
        </w:rPr>
        <w:t xml:space="preserve">Phase 1: Quick Wins (0 – 3 Months)</w:t>
      </w:r>
    </w:p>
    <w:p>
      <w:pPr>
        <w:spacing w:before="60" w:after="80"/>
        <w:jc w:val="left"/>
      </w:pPr>
      <w:r>
        <w:rPr>
          <w:rFonts w:ascii="Arial" w:cs="Arial" w:eastAsia="Arial" w:hAnsi="Arial"/>
          <w:b w:val="false"/>
          <w:bCs w:val="false"/>
          <w:color w:val="374151"/>
          <w:sz w:val="22"/>
          <w:szCs w:val="22"/>
        </w:rPr>
        <w:t xml:space="preserve">Phase 1 focuses on the highest-leverage improvements — features that take relatively little time to build but have an outsized effect on retention and user satisfaction. These are the table-stakes capabilities that competitors already offer and that users silently churn over.</w:t>
      </w:r>
    </w:p>
    <w:p>
      <w:pPr>
        <w:spacing w:before="80" w:after="0"/>
      </w:pPr>
      <w:r>
        <w:t xml:space="preserve"/>
      </w:r>
    </w:p>
    <w:p>
      <w:pPr>
        <w:spacing w:before="240" w:after="100"/>
      </w:pPr>
      <w:r>
        <w:rPr>
          <w:rFonts w:ascii="Arial" w:cs="Arial" w:eastAsia="Arial" w:hAnsi="Arial"/>
          <w:b/>
          <w:bCs/>
          <w:color w:val="4f46e5"/>
          <w:sz w:val="24"/>
          <w:szCs w:val="24"/>
        </w:rPr>
        <w:t xml:space="preserve">Top 3 priorities in this phase</w:t>
      </w:r>
    </w:p>
    <w:p>
      <w:pPr>
        <w:pStyle w:val="ListParagraph"/>
        <w:numPr>
          <w:ilvl w:val="0"/>
          <w:numId w:val="2"/>
        </w:numPr>
        <w:spacing w:before="40" w:after="60"/>
      </w:pPr>
      <w:r>
        <w:rPr>
          <w:rFonts w:ascii="Arial" w:cs="Arial" w:eastAsia="Arial" w:hAnsi="Arial"/>
          <w:color w:val="374151"/>
          <w:sz w:val="22"/>
          <w:szCs w:val="22"/>
        </w:rPr>
        <w:t xml:space="preserve">Brand Voice Profile — single biggest perceived value jump. Transforms the product from a 'generator' into a 'brand partner.'</w:t>
      </w:r>
    </w:p>
    <w:p>
      <w:pPr>
        <w:pStyle w:val="ListParagraph"/>
        <w:numPr>
          <w:ilvl w:val="0"/>
          <w:numId w:val="2"/>
        </w:numPr>
        <w:spacing w:before="40" w:after="60"/>
      </w:pPr>
      <w:r>
        <w:rPr>
          <w:rFonts w:ascii="Arial" w:cs="Arial" w:eastAsia="Arial" w:hAnsi="Arial"/>
          <w:color w:val="374151"/>
          <w:sz w:val="22"/>
          <w:szCs w:val="22"/>
        </w:rPr>
        <w:t xml:space="preserve">Content History &amp; Templates — eliminates the trust-killing issue of users losing generated content after a page refresh.</w:t>
      </w:r>
    </w:p>
    <w:p>
      <w:pPr>
        <w:pStyle w:val="ListParagraph"/>
        <w:numPr>
          <w:ilvl w:val="0"/>
          <w:numId w:val="2"/>
        </w:numPr>
        <w:spacing w:before="40" w:after="60"/>
      </w:pPr>
      <w:r>
        <w:rPr>
          <w:rFonts w:ascii="Arial" w:cs="Arial" w:eastAsia="Arial" w:hAnsi="Arial"/>
          <w:color w:val="374151"/>
          <w:sz w:val="22"/>
          <w:szCs w:val="22"/>
        </w:rPr>
        <w:t xml:space="preserve">One-Click Regeneration &amp; Variants — removes the biggest in-session friction point and is essential parity with leading competitors.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160"/>
        <w:gridCol w:w="1000"/>
      </w:tblGrid>
      <w:tr>
        <w:trPr>
          <w:tblHeader/>
        </w:trPr>
        <w:tc>
          <w:tcPr>
            <w:tcW w:type="dxa" w:w="32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00"/>
            </w:tcMar>
          </w:tcPr>
          <w:p>
            <w:r>
              <w:rPr>
                <w:rFonts w:ascii="Arial" w:cs="Arial" w:eastAsia="Arial" w:hAnsi="Arial"/>
                <w:b/>
                <w:bCs/>
                <w:color w:val="ffffff"/>
                <w:sz w:val="21"/>
                <w:szCs w:val="21"/>
              </w:rPr>
              <w:t xml:space="preserve">Feature</w:t>
            </w:r>
          </w:p>
        </w:tc>
        <w:tc>
          <w:tcPr>
            <w:tcW w:type="dxa" w:w="40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00"/>
            </w:tcMar>
          </w:tcPr>
          <w:p>
            <w:r>
              <w:rPr>
                <w:rFonts w:ascii="Arial" w:cs="Arial" w:eastAsia="Arial" w:hAnsi="Arial"/>
                <w:b/>
                <w:bCs/>
                <w:color w:val="ffffff"/>
                <w:sz w:val="21"/>
                <w:szCs w:val="21"/>
              </w:rPr>
              <w:t xml:space="preserve">Description &amp; Business Value</w:t>
            </w:r>
          </w:p>
        </w:tc>
        <w:tc>
          <w:tcPr>
            <w:tcW w:type="dxa" w:w="1160"/>
            <w:tcBorders>
              <w:top w:val="single" w:color="e5e7eb" w:sz="1"/>
              <w:left w:val="single" w:color="e5e7eb" w:sz="1"/>
              <w:bottom w:val="single" w:color="e5e7eb" w:sz="1"/>
              <w:right w:val="single" w:color="e5e7eb" w:sz="1"/>
            </w:tcBorders>
            <w:shd w:fill="1a1a2e" w:val="clear"/>
            <w:tcMar>
              <w:top w:type="dxa" w:w="100"/>
              <w:left w:type="dxa" w:w="100"/>
              <w:bottom w:type="dxa" w:w="100"/>
              <w:right w:type="dxa" w:w="100"/>
            </w:tcMar>
          </w:tcPr>
          <w:p>
            <w:r>
              <w:rPr>
                <w:rFonts w:ascii="Arial" w:cs="Arial" w:eastAsia="Arial" w:hAnsi="Arial"/>
                <w:b/>
                <w:bCs/>
                <w:color w:val="ffffff"/>
                <w:sz w:val="21"/>
                <w:szCs w:val="21"/>
              </w:rPr>
              <w:t xml:space="preserve">Impact</w:t>
            </w:r>
          </w:p>
        </w:tc>
        <w:tc>
          <w:tcPr>
            <w:tcW w:type="dxa" w:w="1000"/>
            <w:tcBorders>
              <w:top w:val="single" w:color="e5e7eb" w:sz="1"/>
              <w:left w:val="single" w:color="e5e7eb" w:sz="1"/>
              <w:bottom w:val="single" w:color="e5e7eb" w:sz="1"/>
              <w:right w:val="single" w:color="e5e7eb" w:sz="1"/>
            </w:tcBorders>
            <w:shd w:fill="1a1a2e" w:val="clear"/>
            <w:tcMar>
              <w:top w:type="dxa" w:w="100"/>
              <w:left w:type="dxa" w:w="100"/>
              <w:bottom w:type="dxa" w:w="100"/>
              <w:right w:type="dxa" w:w="100"/>
            </w:tcMar>
          </w:tcPr>
          <w:p>
            <w:r>
              <w:rPr>
                <w:rFonts w:ascii="Arial" w:cs="Arial" w:eastAsia="Arial" w:hAnsi="Arial"/>
                <w:b/>
                <w:bCs/>
                <w:color w:val="ffffff"/>
                <w:sz w:val="21"/>
                <w:szCs w:val="21"/>
              </w:rPr>
              <w:t xml:space="preserve">Category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One-Click Regeneration &amp; Variants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Generate 3–5 output variations instantly with tone and length controls. Removes the biggest friction point and keeps users in flow. Essential parity with Copy.ai and Jasper.</w:t>
            </w:r>
          </w:p>
        </w:tc>
        <w:tc>
          <w:tcPr>
            <w:tcW w:type="dxa" w:w="1160"/>
            <w:tcBorders>
              <w:top w:val="single" w:color="e5e7eb" w:sz="1"/>
              <w:left w:val="single" w:color="e5e7eb" w:sz="1"/>
              <w:bottom w:val="single" w:color="e5e7eb" w:sz="1"/>
              <w:right w:val="single" w:color="e5e7eb"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9"/>
                <w:szCs w:val="19"/>
              </w:rPr>
              <w:t xml:space="preserve">Critical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UX</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Brand Voice Profile</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Let users define tone, vocabulary, and target audience once. All outputs auto-match their brand. Transforms the tool from a 'generator' into a 'brand partner.'</w:t>
            </w:r>
          </w:p>
        </w:tc>
        <w:tc>
          <w:tcPr>
            <w:tcW w:type="dxa" w:w="1160"/>
            <w:tcBorders>
              <w:top w:val="single" w:color="e5e7eb" w:sz="1"/>
              <w:left w:val="single" w:color="e5e7eb" w:sz="1"/>
              <w:bottom w:val="single" w:color="e5e7eb" w:sz="1"/>
              <w:right w:val="single" w:color="e5e7eb"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9"/>
                <w:szCs w:val="19"/>
              </w:rPr>
              <w:t xml:space="preserve">Critical</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Platform-Specific Output Modes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Auto-detect or select target platform (Instagram, LinkedIn, X, YouTube, TikTok) and format character count, hashtags, and tone accordingly.</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Platform</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Content History &amp; Saved Templates</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Auto-save all generated outputs. Let users pin favourites as reusable templates. Eliminates the trust-killing issue of users losing content after page refresh.</w:t>
            </w:r>
          </w:p>
        </w:tc>
        <w:tc>
          <w:tcPr>
            <w:tcW w:type="dxa" w:w="1160"/>
            <w:tcBorders>
              <w:top w:val="single" w:color="e5e7eb" w:sz="1"/>
              <w:left w:val="single" w:color="e5e7eb" w:sz="1"/>
              <w:bottom w:val="single" w:color="e5e7eb" w:sz="1"/>
              <w:right w:val="single" w:color="e5e7eb"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9"/>
                <w:szCs w:val="19"/>
              </w:rPr>
              <w:t xml:space="preserve">Critical</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UX</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Output Quality Scoring</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Score each output on readability, engagement likelihood, and SEO potential. Creates perceived intelligence and reduces doubt before publishing.</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Analytics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Tone &amp; Length Slider Controls</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Add visual controls for tone (casual ↔ professional) and length (short ↔ long) on every output. Makes customisation intuitive and reduces re-generation rate.</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UX</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Bulk Content Generation</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Allow users to generate 10–30 pieces of content in one batch session. Appeals to agencies and heavy users who plan content weeks in advance.</w:t>
            </w:r>
          </w:p>
        </w:tc>
        <w:tc>
          <w:tcPr>
            <w:tcW w:type="dxa" w:w="1160"/>
            <w:tcBorders>
              <w:top w:val="single" w:color="e5e7eb" w:sz="1"/>
              <w:left w:val="single" w:color="e5e7eb" w:sz="1"/>
              <w:bottom w:val="single" w:color="e5e7eb" w:sz="1"/>
              <w:right w:val="single" w:color="e5e7eb"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9"/>
                <w:szCs w:val="19"/>
              </w:rPr>
              <w:t xml:space="preserve">Medium</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UX</w:t>
            </w:r>
          </w:p>
        </w:tc>
      </w:tr>
    </w:tbl>
    <w:p>
      <w:pPr>
        <w:spacing w:before="200" w:after="0"/>
      </w:pPr>
      <w:r>
        <w:t xml:space="preserve"/>
      </w:r>
    </w:p>
    <w:p>
      <w:pPr>
        <w:pStyle w:val="Heading1"/>
        <w:pBdr>
          <w:bottom w:val="single" w:color="4f46e5" w:sz="6" w:space="1"/>
        </w:pBdr>
        <w:spacing w:before="400" w:after="200"/>
      </w:pPr>
      <w:r>
        <w:rPr>
          <w:rFonts w:ascii="Arial" w:cs="Arial" w:eastAsia="Arial" w:hAnsi="Arial"/>
          <w:b/>
          <w:bCs/>
          <w:color w:val="1a1a2e"/>
          <w:sz w:val="36"/>
          <w:szCs w:val="36"/>
        </w:rPr>
        <w:t xml:space="preserve">Phase 2: Core Differentiators (3 – 8 Months)</w:t>
      </w:r>
    </w:p>
    <w:p>
      <w:pPr>
        <w:spacing w:before="60" w:after="80"/>
        <w:jc w:val="left"/>
      </w:pPr>
      <w:r>
        <w:rPr>
          <w:rFonts w:ascii="Arial" w:cs="Arial" w:eastAsia="Arial" w:hAnsi="Arial"/>
          <w:b w:val="false"/>
          <w:bCs w:val="false"/>
          <w:color w:val="374151"/>
          <w:sz w:val="22"/>
          <w:szCs w:val="22"/>
        </w:rPr>
        <w:t xml:space="preserve">Phase 2 builds the features that create genuine competitive separation. The goal is to make the product indispensable — deeply embedded in the user's daily workflow so that switching tools feels costly. This phase also unlocks the B2B segment through team workspaces and collaboration features.</w:t>
      </w:r>
    </w:p>
    <w:p>
      <w:pPr>
        <w:spacing w:before="80" w:after="0"/>
      </w:pPr>
      <w:r>
        <w:t xml:space="preserve"/>
      </w:r>
    </w:p>
    <w:p>
      <w:pPr>
        <w:spacing w:before="240" w:after="100"/>
      </w:pPr>
      <w:r>
        <w:rPr>
          <w:rFonts w:ascii="Arial" w:cs="Arial" w:eastAsia="Arial" w:hAnsi="Arial"/>
          <w:b/>
          <w:bCs/>
          <w:color w:val="4f46e5"/>
          <w:sz w:val="24"/>
          <w:szCs w:val="24"/>
        </w:rPr>
        <w:t xml:space="preserve">The retention moat</w:t>
      </w:r>
    </w:p>
    <w:p>
      <w:pPr>
        <w:spacing w:before="60" w:after="80"/>
        <w:jc w:val="left"/>
      </w:pPr>
      <w:r>
        <w:rPr>
          <w:rFonts w:ascii="Arial" w:cs="Arial" w:eastAsia="Arial" w:hAnsi="Arial"/>
          <w:b w:val="false"/>
          <w:bCs w:val="false"/>
          <w:color w:val="374151"/>
          <w:sz w:val="22"/>
          <w:szCs w:val="22"/>
        </w:rPr>
        <w:t xml:space="preserve">The single most important feature in Phase 2 — and arguably in the entire roadmap — is AI Learning from User Edits. Once the system has learned a user's writing style through hundreds of edits, switching to a competitor means starting from zero. This compounding personalisation is the most defensible moat available to a content SaaS product.</w:t>
      </w:r>
    </w:p>
    <w:p>
      <w:pPr>
        <w:spacing w:before="80" w:after="0"/>
      </w:pPr>
      <w:r>
        <w:t xml:space="preserve"/>
      </w:r>
    </w:p>
    <w:p>
      <w:pPr>
        <w:spacing w:before="240" w:after="100"/>
      </w:pPr>
      <w:r>
        <w:rPr>
          <w:rFonts w:ascii="Arial" w:cs="Arial" w:eastAsia="Arial" w:hAnsi="Arial"/>
          <w:b/>
          <w:bCs/>
          <w:color w:val="4f46e5"/>
          <w:sz w:val="24"/>
          <w:szCs w:val="24"/>
        </w:rPr>
        <w:t xml:space="preserve">The B2B unlock</w:t>
      </w:r>
    </w:p>
    <w:p>
      <w:pPr>
        <w:spacing w:before="60" w:after="80"/>
        <w:jc w:val="left"/>
      </w:pPr>
      <w:r>
        <w:rPr>
          <w:rFonts w:ascii="Arial" w:cs="Arial" w:eastAsia="Arial" w:hAnsi="Arial"/>
          <w:b w:val="false"/>
          <w:bCs w:val="false"/>
          <w:color w:val="374151"/>
          <w:sz w:val="22"/>
          <w:szCs w:val="22"/>
        </w:rPr>
        <w:t xml:space="preserve">Team Workspaces with shared brand kits and approval workflows enables the product to be sold to marketing teams, agencies, and enterprises. Team plans command 3–10x the price of individual subscriptions and have significantly lower churn. This is the highest-leverage revenue expansion available in the mid-term.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160"/>
        <w:gridCol w:w="1000"/>
      </w:tblGrid>
      <w:tr>
        <w:trPr>
          <w:tblHeader/>
        </w:trPr>
        <w:tc>
          <w:tcPr>
            <w:tcW w:type="dxa" w:w="32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00"/>
            </w:tcMar>
          </w:tcPr>
          <w:p>
            <w:r>
              <w:rPr>
                <w:rFonts w:ascii="Arial" w:cs="Arial" w:eastAsia="Arial" w:hAnsi="Arial"/>
                <w:b/>
                <w:bCs/>
                <w:color w:val="ffffff"/>
                <w:sz w:val="21"/>
                <w:szCs w:val="21"/>
              </w:rPr>
              <w:t xml:space="preserve">Feature</w:t>
            </w:r>
          </w:p>
        </w:tc>
        <w:tc>
          <w:tcPr>
            <w:tcW w:type="dxa" w:w="40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00"/>
            </w:tcMar>
          </w:tcPr>
          <w:p>
            <w:r>
              <w:rPr>
                <w:rFonts w:ascii="Arial" w:cs="Arial" w:eastAsia="Arial" w:hAnsi="Arial"/>
                <w:b/>
                <w:bCs/>
                <w:color w:val="ffffff"/>
                <w:sz w:val="21"/>
                <w:szCs w:val="21"/>
              </w:rPr>
              <w:t xml:space="preserve">Description &amp; Business Value</w:t>
            </w:r>
          </w:p>
        </w:tc>
        <w:tc>
          <w:tcPr>
            <w:tcW w:type="dxa" w:w="1160"/>
            <w:tcBorders>
              <w:top w:val="single" w:color="e5e7eb" w:sz="1"/>
              <w:left w:val="single" w:color="e5e7eb" w:sz="1"/>
              <w:bottom w:val="single" w:color="e5e7eb" w:sz="1"/>
              <w:right w:val="single" w:color="e5e7eb" w:sz="1"/>
            </w:tcBorders>
            <w:shd w:fill="1a1a2e" w:val="clear"/>
            <w:tcMar>
              <w:top w:type="dxa" w:w="100"/>
              <w:left w:type="dxa" w:w="100"/>
              <w:bottom w:type="dxa" w:w="100"/>
              <w:right w:type="dxa" w:w="100"/>
            </w:tcMar>
          </w:tcPr>
          <w:p>
            <w:r>
              <w:rPr>
                <w:rFonts w:ascii="Arial" w:cs="Arial" w:eastAsia="Arial" w:hAnsi="Arial"/>
                <w:b/>
                <w:bCs/>
                <w:color w:val="ffffff"/>
                <w:sz w:val="21"/>
                <w:szCs w:val="21"/>
              </w:rPr>
              <w:t xml:space="preserve">Impact</w:t>
            </w:r>
          </w:p>
        </w:tc>
        <w:tc>
          <w:tcPr>
            <w:tcW w:type="dxa" w:w="1000"/>
            <w:tcBorders>
              <w:top w:val="single" w:color="e5e7eb" w:sz="1"/>
              <w:left w:val="single" w:color="e5e7eb" w:sz="1"/>
              <w:bottom w:val="single" w:color="e5e7eb" w:sz="1"/>
              <w:right w:val="single" w:color="e5e7eb" w:sz="1"/>
            </w:tcBorders>
            <w:shd w:fill="1a1a2e" w:val="clear"/>
            <w:tcMar>
              <w:top w:type="dxa" w:w="100"/>
              <w:left w:type="dxa" w:w="100"/>
              <w:bottom w:type="dxa" w:w="100"/>
              <w:right w:type="dxa" w:w="100"/>
            </w:tcMar>
          </w:tcPr>
          <w:p>
            <w:r>
              <w:rPr>
                <w:rFonts w:ascii="Arial" w:cs="Arial" w:eastAsia="Arial" w:hAnsi="Arial"/>
                <w:b/>
                <w:bCs/>
                <w:color w:val="ffffff"/>
                <w:sz w:val="21"/>
                <w:szCs w:val="21"/>
              </w:rPr>
              <w:t xml:space="preserve">Category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AI Learning from User Edits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Track how users edit AI outputs and fine-tune suggestions over time to match their style. The single biggest retention moat — switching tools resets months of learning.</w:t>
            </w:r>
          </w:p>
        </w:tc>
        <w:tc>
          <w:tcPr>
            <w:tcW w:type="dxa" w:w="1160"/>
            <w:tcBorders>
              <w:top w:val="single" w:color="e5e7eb" w:sz="1"/>
              <w:left w:val="single" w:color="e5e7eb" w:sz="1"/>
              <w:bottom w:val="single" w:color="e5e7eb" w:sz="1"/>
              <w:right w:val="single" w:color="e5e7eb"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9"/>
                <w:szCs w:val="19"/>
              </w:rPr>
              <w:t xml:space="preserve">Critical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Direct Social Media Publishing</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Connect Instagram, LinkedIn, X, and Buffer to publish or schedule directly from the app. Removes the copy-paste step and makes your tool the final stop in the workflow.</w:t>
            </w:r>
          </w:p>
        </w:tc>
        <w:tc>
          <w:tcPr>
            <w:tcW w:type="dxa" w:w="1160"/>
            <w:tcBorders>
              <w:top w:val="single" w:color="e5e7eb" w:sz="1"/>
              <w:left w:val="single" w:color="e5e7eb" w:sz="1"/>
              <w:bottom w:val="single" w:color="e5e7eb" w:sz="1"/>
              <w:right w:val="single" w:color="e5e7eb"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9"/>
                <w:szCs w:val="19"/>
              </w:rPr>
              <w:t xml:space="preserve">Critical</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Performance Analytics Dashboard</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Connect social accounts and show which AI-generated content drove the most engagement. Closes the feedback loop and provides undeniable ROI proof for paid users.</w:t>
            </w:r>
          </w:p>
        </w:tc>
        <w:tc>
          <w:tcPr>
            <w:tcW w:type="dxa" w:w="1160"/>
            <w:tcBorders>
              <w:top w:val="single" w:color="e5e7eb" w:sz="1"/>
              <w:left w:val="single" w:color="e5e7eb" w:sz="1"/>
              <w:bottom w:val="single" w:color="e5e7eb" w:sz="1"/>
              <w:right w:val="single" w:color="e5e7eb"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9"/>
                <w:szCs w:val="19"/>
              </w:rPr>
              <w:t xml:space="preserve">Critical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Analytics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Team Workspaces &amp; Collaboration</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Shared brand kits, content libraries, and approval workflows for marketing teams. Unlocks B2B pricing — team plans command 3–10x the price of individual plans.</w:t>
            </w:r>
          </w:p>
        </w:tc>
        <w:tc>
          <w:tcPr>
            <w:tcW w:type="dxa" w:w="1160"/>
            <w:tcBorders>
              <w:top w:val="single" w:color="e5e7eb" w:sz="1"/>
              <w:left w:val="single" w:color="e5e7eb" w:sz="1"/>
              <w:bottom w:val="single" w:color="e5e7eb" w:sz="1"/>
              <w:right w:val="single" w:color="e5e7eb"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9"/>
                <w:szCs w:val="19"/>
              </w:rPr>
              <w:t xml:space="preserve">Critical</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Collab</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Content Calendar Planner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Plan a full week or month of content in one session. AI suggests daily themes. Increases session depth and weekly active usage dramatically.</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UX</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Multilingual Content Generation</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Generate hooks, captions, and CTAs in 20+ languages with culturally adapted tone. Unlocks global markets — English-first tools leave 70% of creators underserved.</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AI Image Prompt Generator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Auto-generate matching Midjourney/DALL-E prompts alongside every caption or hook. Keeps creators from switching to another tool for the visual side of their workflow.</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Content A/B Testing</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Generate two versions of a hook or CTA and let users A/B test against real audiences. Marketers live by data — this feature justifies premium pricing on its own.</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Analytics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Chrome Extension</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Generate hooks and captions from any webpage, product listing, or article. Removes context-switching friction and becomes a viral acquisition channel.</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Platform</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Hashtag Intelligence Engine</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Automatically suggest optimal, trending hashtags per platform and niche. Goes beyond generic tags to surface niche-specific combinations that maximise reach.</w:t>
            </w:r>
          </w:p>
        </w:tc>
        <w:tc>
          <w:tcPr>
            <w:tcW w:type="dxa" w:w="1160"/>
            <w:tcBorders>
              <w:top w:val="single" w:color="e5e7eb" w:sz="1"/>
              <w:left w:val="single" w:color="e5e7eb" w:sz="1"/>
              <w:bottom w:val="single" w:color="e5e7eb" w:sz="1"/>
              <w:right w:val="single" w:color="e5e7eb"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9"/>
                <w:szCs w:val="19"/>
              </w:rPr>
              <w:t xml:space="preserve">Medium</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SEO-Optimised Blog Intro Generator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Extend beyond social to generate SEO-friendly blog intros and meta descriptions. Opens the content marketing audience segment.</w:t>
            </w:r>
          </w:p>
        </w:tc>
        <w:tc>
          <w:tcPr>
            <w:tcW w:type="dxa" w:w="1160"/>
            <w:tcBorders>
              <w:top w:val="single" w:color="e5e7eb" w:sz="1"/>
              <w:left w:val="single" w:color="e5e7eb" w:sz="1"/>
              <w:bottom w:val="single" w:color="e5e7eb" w:sz="1"/>
              <w:right w:val="single" w:color="e5e7eb"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9"/>
                <w:szCs w:val="19"/>
              </w:rPr>
              <w:t xml:space="preserve">Medium</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bl>
    <w:p>
      <w:pPr>
        <w:spacing w:before="200" w:after="0"/>
      </w:pPr>
      <w:r>
        <w:t xml:space="preserve"/>
      </w:r>
    </w:p>
    <w:p>
      <w:pPr>
        <w:pStyle w:val="Heading1"/>
        <w:pBdr>
          <w:bottom w:val="single" w:color="4f46e5" w:sz="6" w:space="1"/>
        </w:pBdr>
        <w:spacing w:before="400" w:after="200"/>
      </w:pPr>
      <w:r>
        <w:rPr>
          <w:rFonts w:ascii="Arial" w:cs="Arial" w:eastAsia="Arial" w:hAnsi="Arial"/>
          <w:b/>
          <w:bCs/>
          <w:color w:val="1a1a2e"/>
          <w:sz w:val="36"/>
          <w:szCs w:val="36"/>
        </w:rPr>
        <w:t xml:space="preserve">Phase 3: Market Leadership (8 – 18 Months)</w:t>
      </w:r>
    </w:p>
    <w:p>
      <w:pPr>
        <w:spacing w:before="60" w:after="80"/>
        <w:jc w:val="left"/>
      </w:pPr>
      <w:r>
        <w:rPr>
          <w:rFonts w:ascii="Arial" w:cs="Arial" w:eastAsia="Arial" w:hAnsi="Arial"/>
          <w:b w:val="false"/>
          <w:bCs w:val="false"/>
          <w:color w:val="374151"/>
          <w:sz w:val="22"/>
          <w:szCs w:val="22"/>
        </w:rPr>
        <w:t xml:space="preserve">Phase 3 establishes the platform as the clear category leader. The features in this phase are characterised by network effects, enterprise-grade capabilities, and intelligence that competitors will find difficult to replicate quickly. The goal is to build an ecosystem — not just a product.</w:t>
      </w:r>
    </w:p>
    <w:p>
      <w:pPr>
        <w:spacing w:before="80" w:after="0"/>
      </w:pPr>
      <w:r>
        <w:t xml:space="preserve"/>
      </w:r>
    </w:p>
    <w:p>
      <w:pPr>
        <w:spacing w:before="240" w:after="100"/>
      </w:pPr>
      <w:r>
        <w:rPr>
          <w:rFonts w:ascii="Arial" w:cs="Arial" w:eastAsia="Arial" w:hAnsi="Arial"/>
          <w:b/>
          <w:bCs/>
          <w:color w:val="4f46e5"/>
          <w:sz w:val="24"/>
          <w:szCs w:val="24"/>
        </w:rPr>
        <w:t xml:space="preserve">The ecosystem play</w:t>
      </w:r>
    </w:p>
    <w:p>
      <w:pPr>
        <w:spacing w:before="60" w:after="80"/>
        <w:jc w:val="left"/>
      </w:pPr>
      <w:r>
        <w:rPr>
          <w:rFonts w:ascii="Arial" w:cs="Arial" w:eastAsia="Arial" w:hAnsi="Arial"/>
          <w:b w:val="false"/>
          <w:bCs w:val="false"/>
          <w:color w:val="374151"/>
          <w:sz w:val="22"/>
          <w:szCs w:val="22"/>
        </w:rPr>
        <w:t xml:space="preserve">The Content Template Marketplace introduces a network effect: top creators attract other creators. Combined with an open API and white-label offering, the platform evolves from a tool users log into to an infrastructure that powers other products. This is the transition from SaaS to platform.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160"/>
        <w:gridCol w:w="1000"/>
      </w:tblGrid>
      <w:tr>
        <w:trPr>
          <w:tblHeader/>
        </w:trPr>
        <w:tc>
          <w:tcPr>
            <w:tcW w:type="dxa" w:w="32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00"/>
            </w:tcMar>
          </w:tcPr>
          <w:p>
            <w:r>
              <w:rPr>
                <w:rFonts w:ascii="Arial" w:cs="Arial" w:eastAsia="Arial" w:hAnsi="Arial"/>
                <w:b/>
                <w:bCs/>
                <w:color w:val="ffffff"/>
                <w:sz w:val="21"/>
                <w:szCs w:val="21"/>
              </w:rPr>
              <w:t xml:space="preserve">Feature</w:t>
            </w:r>
          </w:p>
        </w:tc>
        <w:tc>
          <w:tcPr>
            <w:tcW w:type="dxa" w:w="40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00"/>
            </w:tcMar>
          </w:tcPr>
          <w:p>
            <w:r>
              <w:rPr>
                <w:rFonts w:ascii="Arial" w:cs="Arial" w:eastAsia="Arial" w:hAnsi="Arial"/>
                <w:b/>
                <w:bCs/>
                <w:color w:val="ffffff"/>
                <w:sz w:val="21"/>
                <w:szCs w:val="21"/>
              </w:rPr>
              <w:t xml:space="preserve">Description &amp; Business Value</w:t>
            </w:r>
          </w:p>
        </w:tc>
        <w:tc>
          <w:tcPr>
            <w:tcW w:type="dxa" w:w="1160"/>
            <w:tcBorders>
              <w:top w:val="single" w:color="e5e7eb" w:sz="1"/>
              <w:left w:val="single" w:color="e5e7eb" w:sz="1"/>
              <w:bottom w:val="single" w:color="e5e7eb" w:sz="1"/>
              <w:right w:val="single" w:color="e5e7eb" w:sz="1"/>
            </w:tcBorders>
            <w:shd w:fill="1a1a2e" w:val="clear"/>
            <w:tcMar>
              <w:top w:type="dxa" w:w="100"/>
              <w:left w:type="dxa" w:w="100"/>
              <w:bottom w:type="dxa" w:w="100"/>
              <w:right w:type="dxa" w:w="100"/>
            </w:tcMar>
          </w:tcPr>
          <w:p>
            <w:r>
              <w:rPr>
                <w:rFonts w:ascii="Arial" w:cs="Arial" w:eastAsia="Arial" w:hAnsi="Arial"/>
                <w:b/>
                <w:bCs/>
                <w:color w:val="ffffff"/>
                <w:sz w:val="21"/>
                <w:szCs w:val="21"/>
              </w:rPr>
              <w:t xml:space="preserve">Impact</w:t>
            </w:r>
          </w:p>
        </w:tc>
        <w:tc>
          <w:tcPr>
            <w:tcW w:type="dxa" w:w="1000"/>
            <w:tcBorders>
              <w:top w:val="single" w:color="e5e7eb" w:sz="1"/>
              <w:left w:val="single" w:color="e5e7eb" w:sz="1"/>
              <w:bottom w:val="single" w:color="e5e7eb" w:sz="1"/>
              <w:right w:val="single" w:color="e5e7eb" w:sz="1"/>
            </w:tcBorders>
            <w:shd w:fill="1a1a2e" w:val="clear"/>
            <w:tcMar>
              <w:top w:type="dxa" w:w="100"/>
              <w:left w:type="dxa" w:w="100"/>
              <w:bottom w:type="dxa" w:w="100"/>
              <w:right w:type="dxa" w:w="100"/>
            </w:tcMar>
          </w:tcPr>
          <w:p>
            <w:r>
              <w:rPr>
                <w:rFonts w:ascii="Arial" w:cs="Arial" w:eastAsia="Arial" w:hAnsi="Arial"/>
                <w:b/>
                <w:bCs/>
                <w:color w:val="ffffff"/>
                <w:sz w:val="21"/>
                <w:szCs w:val="21"/>
              </w:rPr>
              <w:t xml:space="preserve">Category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Trend Detection &amp; Content Alerts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Monitor trending topics in user's niche and proactively suggest timely content ideas before competitors. An AI that alerts you to trends is priceless to creators.</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Competitor Content Intelligence</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Analyse top-performing content in user's niche and generate content designed to outperform it. Enterprise-grade intelligence bundled at SaaS pricing.</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Analytics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AI Video Script &amp; Voiceover Generator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Full video script generation from a topic, with scene breakdowns and AI voiceover previews. Video is the dominant content format — this becomes the creative hub for video creators.</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API &amp; White-Label Offering</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Open the content engine as an API for agencies and SaaS companies to embed. API customers bring MRR 10–50x higher than individual users and rarely churn.</w:t>
            </w:r>
          </w:p>
        </w:tc>
        <w:tc>
          <w:tcPr>
            <w:tcW w:type="dxa" w:w="1160"/>
            <w:tcBorders>
              <w:top w:val="single" w:color="e5e7eb" w:sz="1"/>
              <w:left w:val="single" w:color="e5e7eb" w:sz="1"/>
              <w:bottom w:val="single" w:color="e5e7eb" w:sz="1"/>
              <w:right w:val="single" w:color="e5e7eb" w:sz="1"/>
            </w:tcBorders>
            <w:shd w:fill="d1fae5" w:val="clear"/>
            <w:tcMar>
              <w:top w:type="dxa" w:w="100"/>
              <w:left w:type="dxa" w:w="100"/>
              <w:bottom w:type="dxa" w:w="100"/>
              <w:right w:type="dxa" w:w="100"/>
            </w:tcMar>
            <w:vAlign w:val="center"/>
          </w:tcPr>
          <w:p>
            <w:pPr>
              <w:jc w:val="center"/>
            </w:pPr>
            <w:r>
              <w:rPr>
                <w:rFonts w:ascii="Arial" w:cs="Arial" w:eastAsia="Arial" w:hAnsi="Arial"/>
                <w:b/>
                <w:bCs/>
                <w:color w:val="059669"/>
                <w:sz w:val="19"/>
                <w:szCs w:val="19"/>
              </w:rPr>
              <w:t xml:space="preserve">High</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Content Template Marketplace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Let power users sell their best-performing templates. Take a revenue cut. Creates a network effect where top creators attract more creators.</w:t>
            </w:r>
          </w:p>
        </w:tc>
        <w:tc>
          <w:tcPr>
            <w:tcW w:type="dxa" w:w="1160"/>
            <w:tcBorders>
              <w:top w:val="single" w:color="e5e7eb" w:sz="1"/>
              <w:left w:val="single" w:color="e5e7eb" w:sz="1"/>
              <w:bottom w:val="single" w:color="e5e7eb" w:sz="1"/>
              <w:right w:val="single" w:color="e5e7eb"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9"/>
                <w:szCs w:val="19"/>
              </w:rPr>
              <w:t xml:space="preserve">Medium</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Monetisation</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AI Content Coaching Mode</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Explain why a hook works, suggest improvements, and teach users to write better content. Positions the brand as educational and opens a premium learning subscription tier.</w:t>
            </w:r>
          </w:p>
        </w:tc>
        <w:tc>
          <w:tcPr>
            <w:tcW w:type="dxa" w:w="1160"/>
            <w:tcBorders>
              <w:top w:val="single" w:color="e5e7eb" w:sz="1"/>
              <w:left w:val="single" w:color="e5e7eb" w:sz="1"/>
              <w:bottom w:val="single" w:color="e5e7eb" w:sz="1"/>
              <w:right w:val="single" w:color="e5e7eb"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9"/>
                <w:szCs w:val="19"/>
              </w:rPr>
              <w:t xml:space="preserve">Medium</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b/>
                <w:bCs/>
                <w:color w:val="1a1a2e"/>
                <w:sz w:val="21"/>
                <w:szCs w:val="21"/>
              </w:rPr>
              <w:t xml:space="preserve">⊿ Audience Persona Generation</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00"/>
            </w:tcMar>
          </w:tcPr>
          <w:p>
            <w:r>
              <w:rPr>
                <w:rFonts w:ascii="Arial" w:cs="Arial" w:eastAsia="Arial" w:hAnsi="Arial"/>
                <w:color w:val="374151"/>
                <w:sz w:val="20"/>
                <w:szCs w:val="20"/>
              </w:rPr>
              <w:t xml:space="preserve">Build detailed audience personas and auto-tailor all content for each persona's psychology. Persona-driven content is the next frontier in content marketing.</w:t>
            </w:r>
          </w:p>
        </w:tc>
        <w:tc>
          <w:tcPr>
            <w:tcW w:type="dxa" w:w="1160"/>
            <w:tcBorders>
              <w:top w:val="single" w:color="e5e7eb" w:sz="1"/>
              <w:left w:val="single" w:color="e5e7eb" w:sz="1"/>
              <w:bottom w:val="single" w:color="e5e7eb" w:sz="1"/>
              <w:right w:val="single" w:color="e5e7eb"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9"/>
                <w:szCs w:val="19"/>
              </w:rPr>
              <w:t xml:space="preserve">Medium</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00"/>
              <w:bottom w:type="dxa" w:w="100"/>
              <w:right w:type="dxa" w:w="100"/>
            </w:tcMar>
          </w:tcPr>
          <w:p>
            <w:pPr>
              <w:jc w:val="center"/>
            </w:pPr>
            <w:r>
              <w:rPr>
                <w:rFonts w:ascii="Arial" w:cs="Arial" w:eastAsia="Arial" w:hAnsi="Arial"/>
                <w:color w:val="6b7280"/>
                <w:sz w:val="19"/>
                <w:szCs w:val="19"/>
              </w:rPr>
              <w:t xml:space="preserve">AI</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b/>
                <w:bCs/>
                <w:color w:val="1a1a2e"/>
                <w:sz w:val="21"/>
                <w:szCs w:val="21"/>
              </w:rPr>
              <w:t xml:space="preserve">◈ Done-For-You Content Packages</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00"/>
            </w:tcMar>
          </w:tcPr>
          <w:p>
            <w:r>
              <w:rPr>
                <w:rFonts w:ascii="Arial" w:cs="Arial" w:eastAsia="Arial" w:hAnsi="Arial"/>
                <w:color w:val="374151"/>
                <w:sz w:val="20"/>
                <w:szCs w:val="20"/>
              </w:rPr>
              <w:t xml:space="preserve">Managed content packages where AI + human editors deliver ready-to-publish content monthly. High-ACV service revenue that complements self-serve subscriptions.</w:t>
            </w:r>
          </w:p>
        </w:tc>
        <w:tc>
          <w:tcPr>
            <w:tcW w:type="dxa" w:w="1160"/>
            <w:tcBorders>
              <w:top w:val="single" w:color="e5e7eb" w:sz="1"/>
              <w:left w:val="single" w:color="e5e7eb" w:sz="1"/>
              <w:bottom w:val="single" w:color="e5e7eb" w:sz="1"/>
              <w:right w:val="single" w:color="e5e7eb"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9"/>
                <w:szCs w:val="19"/>
              </w:rPr>
              <w:t xml:space="preserve">Medium</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00"/>
              <w:bottom w:type="dxa" w:w="100"/>
              <w:right w:type="dxa" w:w="100"/>
            </w:tcMar>
          </w:tcPr>
          <w:p>
            <w:pPr>
              <w:jc w:val="center"/>
            </w:pPr>
            <w:r>
              <w:rPr>
                <w:rFonts w:ascii="Arial" w:cs="Arial" w:eastAsia="Arial" w:hAnsi="Arial"/>
                <w:color w:val="6b7280"/>
                <w:sz w:val="19"/>
                <w:szCs w:val="19"/>
              </w:rPr>
              <w:t xml:space="preserve">Monetisation</w:t>
            </w:r>
          </w:p>
        </w:tc>
      </w:tr>
    </w:tbl>
    <w:p>
      <w:pPr>
        <w:spacing w:before="200" w:after="0"/>
      </w:pPr>
      <w:r>
        <w:t xml:space="preserve"/>
      </w:r>
    </w:p>
    <w:p>
      <w:pPr>
        <w:pStyle w:val="Heading1"/>
        <w:pBdr>
          <w:bottom w:val="single" w:color="4f46e5" w:sz="6" w:space="1"/>
        </w:pBdr>
        <w:spacing w:before="400" w:after="200"/>
      </w:pPr>
      <w:r>
        <w:rPr>
          <w:rFonts w:ascii="Arial" w:cs="Arial" w:eastAsia="Arial" w:hAnsi="Arial"/>
          <w:b/>
          <w:bCs/>
          <w:color w:val="1a1a2e"/>
          <w:sz w:val="36"/>
          <w:szCs w:val="36"/>
        </w:rPr>
        <w:t xml:space="preserve">Competitive Positioning</w:t>
      </w:r>
    </w:p>
    <w:p>
      <w:pPr>
        <w:spacing w:before="60" w:after="80"/>
        <w:jc w:val="left"/>
      </w:pPr>
      <w:r>
        <w:rPr>
          <w:rFonts w:ascii="Arial" w:cs="Arial" w:eastAsia="Arial" w:hAnsi="Arial"/>
          <w:b w:val="false"/>
          <w:bCs w:val="false"/>
          <w:color w:val="374151"/>
          <w:sz w:val="22"/>
          <w:szCs w:val="22"/>
        </w:rPr>
        <w:t xml:space="preserve">The content creation SaaS market is crowded with general-purpose tools (Jasper, Copy.ai, Writesonic) and platform-specific utilities. Our differentiation strategy is to be the only tool that combines brand-trained AI, multi-platform publishing, performance analytics, and creator education in a single workflow.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15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Our Platform</w:t>
            </w:r>
          </w:p>
        </w:tc>
        <w:tc>
          <w:tcPr>
            <w:tcW w:type="dxa" w:w="15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Jasper</w:t>
            </w:r>
          </w:p>
        </w:tc>
        <w:tc>
          <w:tcPr>
            <w:tcW w:type="dxa" w:w="15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Copy.ai</w:t>
            </w:r>
          </w:p>
        </w:tc>
        <w:tc>
          <w:tcPr>
            <w:tcW w:type="dxa" w:w="15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Writesonic</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Brand voice training</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1)</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Partial</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AI learns from edits</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2)</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Performance analytics</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2)</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Direct social publishing</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2)</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1a1a2e"/>
                <w:sz w:val="20"/>
                <w:szCs w:val="20"/>
              </w:rPr>
              <w:t xml:space="preserve">Partial</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Content calendar</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2)</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Team workspaces</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2)</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059669"/>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059669"/>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059669"/>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Trend detection</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3)</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Template marketplace</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3)</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0"/>
                <w:szCs w:val="20"/>
              </w:rPr>
              <w:t xml:space="preserve">API / white-label</w:t>
            </w:r>
          </w:p>
        </w:tc>
        <w:tc>
          <w:tcPr>
            <w:tcW w:type="dxa" w:w="15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20"/>
                <w:szCs w:val="20"/>
              </w:rPr>
              <w:t xml:space="preserve">✓ (Phase 3)</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val="false"/>
                <w:bCs w:val="false"/>
                <w:color w:val="dc2626"/>
                <w:sz w:val="20"/>
                <w:szCs w:val="20"/>
              </w:rPr>
              <w:t xml:space="preserve">✗</w:t>
            </w:r>
          </w:p>
        </w:tc>
      </w:tr>
    </w:tbl>
    <w:p>
      <w:pPr>
        <w:spacing w:before="200" w:after="0"/>
      </w:pPr>
      <w:r>
        <w:t xml:space="preserve"/>
      </w:r>
    </w:p>
    <w:p>
      <w:pPr>
        <w:pStyle w:val="Heading1"/>
        <w:pBdr>
          <w:bottom w:val="single" w:color="4f46e5" w:sz="6" w:space="1"/>
        </w:pBdr>
        <w:spacing w:before="400" w:after="200"/>
      </w:pPr>
      <w:r>
        <w:rPr>
          <w:rFonts w:ascii="Arial" w:cs="Arial" w:eastAsia="Arial" w:hAnsi="Arial"/>
          <w:b/>
          <w:bCs/>
          <w:color w:val="1a1a2e"/>
          <w:sz w:val="36"/>
          <w:szCs w:val="36"/>
        </w:rPr>
        <w:t xml:space="preserve">Implementation Notes &amp; Success Metrics</w:t>
      </w:r>
    </w:p>
    <w:p>
      <w:pPr>
        <w:pStyle w:val="Heading2"/>
        <w:spacing w:before="320" w:after="160"/>
      </w:pPr>
      <w:r>
        <w:rPr>
          <w:rFonts w:ascii="Arial" w:cs="Arial" w:eastAsia="Arial" w:hAnsi="Arial"/>
          <w:b/>
          <w:bCs/>
          <w:color w:val="1a1a2e"/>
          <w:sz w:val="28"/>
          <w:szCs w:val="28"/>
        </w:rPr>
        <w:t xml:space="preserve">How to prioritise within phases</w:t>
      </w:r>
    </w:p>
    <w:p>
      <w:pPr>
        <w:spacing w:before="60" w:after="80"/>
        <w:jc w:val="left"/>
      </w:pPr>
      <w:r>
        <w:rPr>
          <w:rFonts w:ascii="Arial" w:cs="Arial" w:eastAsia="Arial" w:hAnsi="Arial"/>
          <w:b w:val="false"/>
          <w:bCs w:val="false"/>
          <w:color w:val="374151"/>
          <w:sz w:val="22"/>
          <w:szCs w:val="22"/>
        </w:rPr>
        <w:t xml:space="preserve">Within each phase, prioritise by the intersection of user pain and engineering effort. Features that are high pain to remove and low effort to build should always go first. The Quality Score and Variants features in Phase 1, for instance, are both low-effort and high-impact and should be the first two shipped.</w:t>
      </w:r>
    </w:p>
    <w:p>
      <w:pPr>
        <w:spacing w:before="80" w:after="0"/>
      </w:pPr>
      <w:r>
        <w:t xml:space="preserve"/>
      </w:r>
    </w:p>
    <w:p>
      <w:pPr>
        <w:pStyle w:val="Heading2"/>
        <w:spacing w:before="320" w:after="160"/>
      </w:pPr>
      <w:r>
        <w:rPr>
          <w:rFonts w:ascii="Arial" w:cs="Arial" w:eastAsia="Arial" w:hAnsi="Arial"/>
          <w:b/>
          <w:bCs/>
          <w:color w:val="1a1a2e"/>
          <w:sz w:val="28"/>
          <w:szCs w:val="28"/>
        </w:rPr>
        <w:t xml:space="preserve">Key success metrics by phase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6"/>
              <w:bottom w:val="single" w:color="059669" w:sz="1"/>
              <w:right w:val="single" w:color="059669" w:sz="1"/>
            </w:tcBorders>
            <w:shd w:fill="d1fae5" w:val="clear"/>
            <w:tcMar>
              <w:top w:type="dxa" w:w="140"/>
              <w:left w:type="dxa" w:w="200"/>
              <w:bottom w:type="dxa" w:w="140"/>
              <w:right w:type="dxa" w:w="200"/>
            </w:tcMar>
          </w:tcPr>
          <w:p>
            <w:pPr>
              <w:spacing w:before="0" w:after="100"/>
            </w:pPr>
            <w:r>
              <w:rPr>
                <w:rFonts w:ascii="Arial" w:cs="Arial" w:eastAsia="Arial" w:hAnsi="Arial"/>
                <w:b/>
                <w:bCs/>
                <w:color w:val="059669"/>
                <w:sz w:val="23"/>
                <w:szCs w:val="23"/>
              </w:rPr>
              <w:t xml:space="preserve">Phase 1 metrics</w:t>
            </w:r>
          </w:p>
          <w:p>
            <w:pPr>
              <w:pStyle w:val="ListParagraph"/>
              <w:numPr>
                <w:ilvl w:val="0"/>
                <w:numId w:val="2"/>
              </w:numPr>
              <w:spacing w:before="40" w:after="40"/>
            </w:pPr>
            <w:r>
              <w:rPr>
                <w:rFonts w:ascii="Arial" w:cs="Arial" w:eastAsia="Arial" w:hAnsi="Arial"/>
                <w:color w:val="374151"/>
                <w:sz w:val="20"/>
                <w:szCs w:val="20"/>
              </w:rPr>
              <w:t xml:space="preserve">7-day retention rate: target &gt;55% (up from current baseline)</w:t>
            </w:r>
          </w:p>
          <w:p>
            <w:pPr>
              <w:pStyle w:val="ListParagraph"/>
              <w:numPr>
                <w:ilvl w:val="0"/>
                <w:numId w:val="2"/>
              </w:numPr>
              <w:spacing w:before="40" w:after="40"/>
            </w:pPr>
            <w:r>
              <w:rPr>
                <w:rFonts w:ascii="Arial" w:cs="Arial" w:eastAsia="Arial" w:hAnsi="Arial"/>
                <w:color w:val="374151"/>
                <w:sz w:val="20"/>
                <w:szCs w:val="20"/>
              </w:rPr>
              <w:t xml:space="preserve">Average outputs per session: target &gt;8 (indicates users regenerating and exploring)</w:t>
            </w:r>
          </w:p>
          <w:p>
            <w:pPr>
              <w:pStyle w:val="ListParagraph"/>
              <w:numPr>
                <w:ilvl w:val="0"/>
                <w:numId w:val="2"/>
              </w:numPr>
              <w:spacing w:before="40" w:after="40"/>
            </w:pPr>
            <w:r>
              <w:rPr>
                <w:rFonts w:ascii="Arial" w:cs="Arial" w:eastAsia="Arial" w:hAnsi="Arial"/>
                <w:color w:val="374151"/>
                <w:sz w:val="20"/>
                <w:szCs w:val="20"/>
              </w:rPr>
              <w:t xml:space="preserve">Brand kit adoption: target &gt;40% of active users within 60 days of launch</w:t>
            </w:r>
          </w:p>
          <w:p>
            <w:pPr>
              <w:pStyle w:val="ListParagraph"/>
              <w:numPr>
                <w:ilvl w:val="0"/>
                <w:numId w:val="2"/>
              </w:numPr>
              <w:spacing w:before="40" w:after="40"/>
            </w:pPr>
            <w:r>
              <w:rPr>
                <w:rFonts w:ascii="Arial" w:cs="Arial" w:eastAsia="Arial" w:hAnsi="Arial"/>
                <w:color w:val="374151"/>
                <w:sz w:val="20"/>
                <w:szCs w:val="20"/>
              </w:rPr>
              <w:t xml:space="preserve">Support tickets about lost content: target reduction to &lt;5 per week</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6"/>
              <w:bottom w:val="single" w:color="7c3aed" w:sz="1"/>
              <w:right w:val="single" w:color="7c3aed" w:sz="1"/>
            </w:tcBorders>
            <w:shd w:fill="ede9fe" w:val="clear"/>
            <w:tcMar>
              <w:top w:type="dxa" w:w="140"/>
              <w:left w:type="dxa" w:w="200"/>
              <w:bottom w:type="dxa" w:w="140"/>
              <w:right w:type="dxa" w:w="200"/>
            </w:tcMar>
          </w:tcPr>
          <w:p>
            <w:pPr>
              <w:spacing w:before="0" w:after="100"/>
            </w:pPr>
            <w:r>
              <w:rPr>
                <w:rFonts w:ascii="Arial" w:cs="Arial" w:eastAsia="Arial" w:hAnsi="Arial"/>
                <w:b/>
                <w:bCs/>
                <w:color w:val="7c3aed"/>
                <w:sz w:val="23"/>
                <w:szCs w:val="23"/>
              </w:rPr>
              <w:t xml:space="preserve">Phase 2 metrics</w:t>
            </w:r>
          </w:p>
          <w:p>
            <w:pPr>
              <w:pStyle w:val="ListParagraph"/>
              <w:numPr>
                <w:ilvl w:val="0"/>
                <w:numId w:val="2"/>
              </w:numPr>
              <w:spacing w:before="40" w:after="40"/>
            </w:pPr>
            <w:r>
              <w:rPr>
                <w:rFonts w:ascii="Arial" w:cs="Arial" w:eastAsia="Arial" w:hAnsi="Arial"/>
                <w:color w:val="374151"/>
                <w:sz w:val="20"/>
                <w:szCs w:val="20"/>
              </w:rPr>
              <w:t xml:space="preserve">Monthly active users with social integrations connected: target &gt;30%</w:t>
            </w:r>
          </w:p>
          <w:p>
            <w:pPr>
              <w:pStyle w:val="ListParagraph"/>
              <w:numPr>
                <w:ilvl w:val="0"/>
                <w:numId w:val="2"/>
              </w:numPr>
              <w:spacing w:before="40" w:after="40"/>
            </w:pPr>
            <w:r>
              <w:rPr>
                <w:rFonts w:ascii="Arial" w:cs="Arial" w:eastAsia="Arial" w:hAnsi="Arial"/>
                <w:color w:val="374151"/>
                <w:sz w:val="20"/>
                <w:szCs w:val="20"/>
              </w:rPr>
              <w:t xml:space="preserve">Team plan conversion rate: target &gt;8% of eligible accounts</w:t>
            </w:r>
          </w:p>
          <w:p>
            <w:pPr>
              <w:pStyle w:val="ListParagraph"/>
              <w:numPr>
                <w:ilvl w:val="0"/>
                <w:numId w:val="2"/>
              </w:numPr>
              <w:spacing w:before="40" w:after="40"/>
            </w:pPr>
            <w:r>
              <w:rPr>
                <w:rFonts w:ascii="Arial" w:cs="Arial" w:eastAsia="Arial" w:hAnsi="Arial"/>
                <w:color w:val="374151"/>
                <w:sz w:val="20"/>
                <w:szCs w:val="20"/>
              </w:rPr>
              <w:t xml:space="preserve">Average session length: target &gt;12 minutes (up from baseline)</w:t>
            </w:r>
          </w:p>
          <w:p>
            <w:pPr>
              <w:pStyle w:val="ListParagraph"/>
              <w:numPr>
                <w:ilvl w:val="0"/>
                <w:numId w:val="2"/>
              </w:numPr>
              <w:spacing w:before="40" w:after="40"/>
            </w:pPr>
            <w:r>
              <w:rPr>
                <w:rFonts w:ascii="Arial" w:cs="Arial" w:eastAsia="Arial" w:hAnsi="Arial"/>
                <w:color w:val="374151"/>
                <w:sz w:val="20"/>
                <w:szCs w:val="20"/>
              </w:rPr>
              <w:t xml:space="preserve">MRR contribution from team plans: target &gt;25% of total MRR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ef3c7" w:val="clear"/>
            <w:tcMar>
              <w:top w:type="dxa" w:w="140"/>
              <w:left w:type="dxa" w:w="200"/>
              <w:bottom w:type="dxa" w:w="140"/>
              <w:right w:type="dxa" w:w="200"/>
            </w:tcMar>
          </w:tcPr>
          <w:p>
            <w:pPr>
              <w:spacing w:before="0" w:after="100"/>
            </w:pPr>
            <w:r>
              <w:rPr>
                <w:rFonts w:ascii="Arial" w:cs="Arial" w:eastAsia="Arial" w:hAnsi="Arial"/>
                <w:b/>
                <w:bCs/>
                <w:color w:val="d97706"/>
                <w:sz w:val="23"/>
                <w:szCs w:val="23"/>
              </w:rPr>
              <w:t xml:space="preserve">Phase 3 metrics</w:t>
            </w:r>
          </w:p>
          <w:p>
            <w:pPr>
              <w:pStyle w:val="ListParagraph"/>
              <w:numPr>
                <w:ilvl w:val="0"/>
                <w:numId w:val="2"/>
              </w:numPr>
              <w:spacing w:before="40" w:after="40"/>
            </w:pPr>
            <w:r>
              <w:rPr>
                <w:rFonts w:ascii="Arial" w:cs="Arial" w:eastAsia="Arial" w:hAnsi="Arial"/>
                <w:color w:val="374151"/>
                <w:sz w:val="20"/>
                <w:szCs w:val="20"/>
              </w:rPr>
              <w:t xml:space="preserve">API revenue as a percentage of total revenue: target &gt;15%</w:t>
            </w:r>
          </w:p>
          <w:p>
            <w:pPr>
              <w:pStyle w:val="ListParagraph"/>
              <w:numPr>
                <w:ilvl w:val="0"/>
                <w:numId w:val="2"/>
              </w:numPr>
              <w:spacing w:before="40" w:after="40"/>
            </w:pPr>
            <w:r>
              <w:rPr>
                <w:rFonts w:ascii="Arial" w:cs="Arial" w:eastAsia="Arial" w:hAnsi="Arial"/>
                <w:color w:val="374151"/>
                <w:sz w:val="20"/>
                <w:szCs w:val="20"/>
              </w:rPr>
              <w:t xml:space="preserve">Marketplace templates listed: target &gt;500 within 6 months of launch</w:t>
            </w:r>
          </w:p>
          <w:p>
            <w:pPr>
              <w:pStyle w:val="ListParagraph"/>
              <w:numPr>
                <w:ilvl w:val="0"/>
                <w:numId w:val="2"/>
              </w:numPr>
              <w:spacing w:before="40" w:after="40"/>
            </w:pPr>
            <w:r>
              <w:rPr>
                <w:rFonts w:ascii="Arial" w:cs="Arial" w:eastAsia="Arial" w:hAnsi="Arial"/>
                <w:color w:val="374151"/>
                <w:sz w:val="20"/>
                <w:szCs w:val="20"/>
              </w:rPr>
              <w:t xml:space="preserve">Enterprise accounts (10+ seats): target &gt;50 accounts</w:t>
            </w:r>
          </w:p>
          <w:p>
            <w:pPr>
              <w:pStyle w:val="ListParagraph"/>
              <w:numPr>
                <w:ilvl w:val="0"/>
                <w:numId w:val="2"/>
              </w:numPr>
              <w:spacing w:before="40" w:after="40"/>
            </w:pPr>
            <w:r>
              <w:rPr>
                <w:rFonts w:ascii="Arial" w:cs="Arial" w:eastAsia="Arial" w:hAnsi="Arial"/>
                <w:color w:val="374151"/>
                <w:sz w:val="20"/>
                <w:szCs w:val="20"/>
              </w:rPr>
              <w:t xml:space="preserve">Net revenue retention (NRR): target &gt;120% across all plans</w:t>
            </w:r>
          </w:p>
        </w:tc>
      </w:tr>
    </w:tbl>
    <w:p>
      <w:pPr>
        <w:spacing w:before="200" w:after="0"/>
      </w:pPr>
      <w:r>
        <w:t xml:space="preserve"/>
      </w:r>
    </w:p>
    <w:p>
      <w:pPr>
        <w:pStyle w:val="Heading1"/>
        <w:pBdr>
          <w:bottom w:val="single" w:color="4f46e5" w:sz="6" w:space="1"/>
        </w:pBdr>
        <w:spacing w:before="400" w:after="200"/>
      </w:pPr>
      <w:r>
        <w:rPr>
          <w:rFonts w:ascii="Arial" w:cs="Arial" w:eastAsia="Arial" w:hAnsi="Arial"/>
          <w:b/>
          <w:bCs/>
          <w:color w:val="1a1a2e"/>
          <w:sz w:val="36"/>
          <w:szCs w:val="36"/>
        </w:rPr>
        <w:t xml:space="preserve">Final Recommendation</w:t>
      </w:r>
    </w:p>
    <w:p>
      <w:pPr>
        <w:spacing w:before="60" w:after="80"/>
        <w:jc w:val="left"/>
      </w:pPr>
      <w:r>
        <w:rPr>
          <w:rFonts w:ascii="Arial" w:cs="Arial" w:eastAsia="Arial" w:hAnsi="Arial"/>
          <w:b w:val="false"/>
          <w:bCs w:val="false"/>
          <w:color w:val="374151"/>
          <w:sz w:val="22"/>
          <w:szCs w:val="22"/>
        </w:rPr>
        <w:t xml:space="preserve">Three features above all others will determine whether this product achieves category leadership: the Brand Voice Profile, AI Learning from User Edits, and the Performance Analytics Dashboard. Get these three right and the product becomes genuinely hard to leave. Ship Phase 1 in the first sprint, use the retention data to prioritise Phase 2 investments, and treat Phase 3 as the long game that turns a product into a platform.</w:t>
      </w:r>
    </w:p>
    <w:p>
      <w:pPr>
        <w:spacing w:before="100" w:after="0"/>
      </w:pPr>
      <w:r>
        <w:t xml:space="preserve"/>
      </w:r>
    </w:p>
    <w:p>
      <w:pPr>
        <w:pBdr>
          <w:top w:val="single" w:color="e5e7eb" w:sz="4" w:space="1"/>
        </w:pBdr>
        <w:spacing w:before="240" w:after="0"/>
        <w:jc w:val="center"/>
      </w:pPr>
      <w:r>
        <w:rPr>
          <w:rFonts w:ascii="Arial" w:cs="Arial" w:eastAsia="Arial" w:hAnsi="Arial"/>
          <w:i/>
          <w:iCs/>
          <w:color w:val="6b7280"/>
          <w:sz w:val="18"/>
          <w:szCs w:val="18"/>
        </w:rPr>
        <w:t xml:space="preserve">End of document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40"/>
      <w:tblBorders>
        <w:top w:val="single" w:color="e5e7eb" w:sz="4"/>
        <w:left w:val="none" w:color="ffffff" w:sz="0"/>
        <w:bottom w:val="none" w:color="ffffff" w:sz="0"/>
        <w:right w:val="none" w:color="ffffff" w:sz="0"/>
        <w:insideH w:val="single" w:color="auto" w:sz="4"/>
        <w:insideV w:val="single" w:color="auto" w:sz="4"/>
      </w:tblBorders>
    </w:tblPr>
    <w:tblGrid>
      <w:gridCol w:w="6840"/>
      <w:gridCol w:w="3000"/>
    </w:tblGrid>
    <w:tr>
      <w:tc>
        <w:tcPr>
          <w:tcW w:type="dxa" w:w="6840"/>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6b7280"/>
              <w:sz w:val="17"/>
              <w:szCs w:val="17"/>
            </w:rPr>
            <w:t xml:space="preserve">Confidential — Internal Strategy Document</w:t>
          </w:r>
        </w:p>
      </w:tc>
      <w:tc>
        <w:tcPr>
          <w:tcW w:type="dxa" w:w="3000"/>
          <w:tcBorders>
            <w:top w:val="none" w:color="ffffff" w:sz="0"/>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color w:val="6b7280"/>
              <w:sz w:val="17"/>
              <w:szCs w:val="17"/>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none" w:color="ffffff" w:sz="0"/>
        <w:left w:val="none" w:color="ffffff" w:sz="0"/>
        <w:bottom w:val="single" w:color="4f46e5" w:sz="4"/>
        <w:right w:val="none" w:color="ffffff" w:sz="0"/>
        <w:insideH w:val="single" w:color="auto" w:sz="4"/>
        <w:insideV w:val="single" w:color="auto" w:sz="4"/>
      </w:tblBorders>
    </w:tblPr>
    <w:tblGrid>
      <w:gridCol w:w="6840"/>
      <w:gridCol w:w="3000"/>
    </w:tblGrid>
    <w:tr>
      <w:tc>
        <w:tcPr>
          <w:tcW w:type="dxa" w:w="6840"/>
          <w:tcBorders>
            <w:top w:val="none" w:color="ffffff" w:sz="0"/>
            <w:left w:val="none" w:color="ffffff" w:sz="0"/>
            <w:bottom w:val="none" w:color="ffffff" w:sz="0"/>
            <w:right w:val="none" w:color="ffffff" w:sz="0"/>
          </w:tcBorders>
          <w:tcMar>
            <w:top w:type="dxa" w:w="60"/>
            <w:left w:type="dxa" w:w="0"/>
            <w:bottom w:type="dxa" w:w="80"/>
            <w:right w:type="dxa" w:w="0"/>
          </w:tcMar>
        </w:tcPr>
        <w:p>
          <w:r>
            <w:rPr>
              <w:rFonts w:ascii="Arial" w:cs="Arial" w:eastAsia="Arial" w:hAnsi="Arial"/>
              <w:color w:val="6b7280"/>
              <w:sz w:val="18"/>
              <w:szCs w:val="18"/>
            </w:rPr>
            <w:t xml:space="preserve">Product Improvement &amp; Feature Roadmap</w:t>
          </w:r>
        </w:p>
      </w:tc>
      <w:tc>
        <w:tcPr>
          <w:tcW w:type="dxa" w:w="3000"/>
          <w:tcBorders>
            <w:top w:val="none" w:color="ffffff" w:sz="0"/>
            <w:left w:val="none" w:color="ffffff" w:sz="0"/>
            <w:bottom w:val="none" w:color="ffffff" w:sz="0"/>
            <w:right w:val="none" w:color="ffffff" w:sz="0"/>
          </w:tcBorders>
          <w:tcMar>
            <w:top w:type="dxa" w:w="60"/>
            <w:left w:type="dxa" w:w="0"/>
            <w:bottom w:type="dxa" w:w="80"/>
            <w:right w:type="dxa" w:w="0"/>
          </w:tcMar>
        </w:tcPr>
        <w:p>
          <w:pPr>
            <w:jc w:val="right"/>
          </w:pPr>
          <w:r>
            <w:rPr>
              <w:rFonts w:ascii="Arial" w:cs="Arial" w:eastAsia="Arial" w:hAnsi="Arial"/>
              <w:b/>
              <w:bCs/>
              <w:color w:val="4f46e5"/>
              <w:sz w:val="18"/>
              <w:szCs w:val="18"/>
            </w:rPr>
            <w:t xml:space="preserve">Content SaaS Platform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2026-03-24T04:07:15.362Z</dcterms:created>
  <dcterms:modified xsi:type="dcterms:W3CDTF">2026-03-24T04:07:15.363Z</dcterms:modified>
</cp:coreProperties>
</file>

<file path=docProps/custom.xml><?xml version="1.0" encoding="utf-8"?>
<Properties xmlns="http://schemas.openxmlformats.org/officeDocument/2006/custom-properties" xmlns:vt="http://schemas.openxmlformats.org/officeDocument/2006/docPropsVTypes"/>
</file>