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15232B"/>
          <w:sz w:val="42"/>
          <w:szCs w:val="42"/>
        </w:rPr>
        <w:t xml:space="preserve">Vikash Pathak</w:t>
      </w:r>
    </w:p>
    <w:p>
      <w:pPr>
        <w:spacing w:after="40"/>
      </w:pPr>
      <w:r>
        <w:rPr>
          <w:rFonts w:ascii="Arial" w:cs="Arial" w:eastAsia="Arial" w:hAnsi="Arial"/>
          <w:b/>
          <w:bCs/>
          <w:color w:val="1B5D58"/>
          <w:sz w:val="20"/>
          <w:szCs w:val="20"/>
        </w:rPr>
        <w:t xml:space="preserve">Senior Accounts Executive | Bank &amp; Payment Gateway Reconciliation | Accounting Operations | GST &amp; TDS | Excel</w:t>
      </w:r>
    </w:p>
    <w:p>
      <w:pPr>
        <w:spacing w:after="40"/>
      </w:pPr>
      <w:r>
        <w:rPr>
          <w:rFonts w:ascii="Arial" w:cs="Arial" w:eastAsia="Arial" w:hAnsi="Arial"/>
          <w:sz w:val="20"/>
          <w:szCs w:val="20"/>
        </w:rPr>
        <w:t xml:space="preserve">Bengaluru, Karnataka, India  |  +91 85399 79271  |  email.vikashpathak@gmail.com</w:t>
      </w:r>
    </w:p>
    <w:p>
      <w:pPr>
        <w:spacing w:after="40"/>
      </w:pPr>
      <w:r>
        <w:rPr>
          <w:rFonts w:ascii="Arial" w:cs="Arial" w:eastAsia="Arial" w:hAnsi="Arial"/>
          <w:sz w:val="20"/>
          <w:szCs w:val="20"/>
        </w:rPr>
        <w:t xml:space="preserve">linkedin.com/in/vikashpathak2306  |  github.com/Vikashp23  |  vikashp23.github.io/vikash-pathak-resume</w:t>
      </w:r>
    </w:p>
    <w:p>
      <w:pPr>
        <w:keepNext/>
        <w:pBdr>
          <w:bottom w:val="single" w:color="1B5D58" w:sz="6" w:space="2"/>
        </w:pBdr>
        <w:spacing w:after="90" w:before="170"/>
      </w:pPr>
      <w:r>
        <w:rPr>
          <w:rFonts w:ascii="Arial" w:cs="Arial" w:eastAsia="Arial" w:hAnsi="Arial"/>
          <w:b/>
          <w:bCs/>
          <w:color w:val="1B5D58"/>
          <w:sz w:val="21"/>
          <w:szCs w:val="21"/>
        </w:rPr>
        <w:t xml:space="preserve">PROFESSIONAL SUMMARY</w:t>
      </w:r>
    </w:p>
    <w:p>
      <w:pPr>
        <w:spacing w:after="60"/>
      </w:pPr>
      <w:r>
        <w:rPr>
          <w:rFonts w:ascii="Arial" w:cs="Arial" w:eastAsia="Arial" w:hAnsi="Arial"/>
          <w:sz w:val="20"/>
          <w:szCs w:val="20"/>
        </w:rPr>
        <w:t xml:space="preserve">Senior Accounts Executive with 9 years of professional experience in accounting operations, bank and payment gateway reconciliation, refund processing, GST reconciliation support and audit assistance. Daily reconciliation of PayU, CCAvenue, TPSL, HDFC and ICICI at Via.com. Practical Excel (Pivot Tables, XLOOKUP, SUMIFS) and Tally Prime.</w:t>
      </w:r>
    </w:p>
    <w:p>
      <w:pPr>
        <w:keepNext/>
        <w:pBdr>
          <w:bottom w:val="single" w:color="1B5D58" w:sz="6" w:space="2"/>
        </w:pBdr>
        <w:spacing w:after="90" w:before="170"/>
      </w:pPr>
      <w:r>
        <w:rPr>
          <w:rFonts w:ascii="Arial" w:cs="Arial" w:eastAsia="Arial" w:hAnsi="Arial"/>
          <w:b/>
          <w:bCs/>
          <w:color w:val="1B5D58"/>
          <w:sz w:val="21"/>
          <w:szCs w:val="21"/>
        </w:rPr>
        <w:t xml:space="preserve">CORE SKILLS</w:t>
      </w:r>
    </w:p>
    <w:p>
      <w:pPr>
        <w:spacing w:after="40"/>
      </w:pPr>
      <w:r>
        <w:rPr>
          <w:rFonts w:ascii="Arial" w:cs="Arial" w:eastAsia="Arial" w:hAnsi="Arial"/>
          <w:b/>
          <w:bCs/>
          <w:sz w:val="20"/>
          <w:szCs w:val="20"/>
        </w:rPr>
        <w:t xml:space="preserve">Accounting &amp; Finance: </w:t>
      </w:r>
      <w:r>
        <w:rPr>
          <w:rFonts w:ascii="Arial" w:cs="Arial" w:eastAsia="Arial" w:hAnsi="Arial"/>
          <w:sz w:val="20"/>
          <w:szCs w:val="20"/>
        </w:rPr>
        <w:t xml:space="preserve">Bank reconciliation, payment gateway reconciliation, deposit verification, refund processing and validation, payment processing, journal entries, ledger posting, MIS and daily bank summaries, audit support, month-end accounting support</w:t>
      </w:r>
    </w:p>
    <w:p>
      <w:pPr>
        <w:spacing w:after="40"/>
      </w:pPr>
      <w:r>
        <w:rPr>
          <w:rFonts w:ascii="Arial" w:cs="Arial" w:eastAsia="Arial" w:hAnsi="Arial"/>
          <w:b/>
          <w:bCs/>
          <w:sz w:val="20"/>
          <w:szCs w:val="20"/>
        </w:rPr>
        <w:t xml:space="preserve">Tax &amp; Compliance: </w:t>
      </w:r>
      <w:r>
        <w:rPr>
          <w:rFonts w:ascii="Arial" w:cs="Arial" w:eastAsia="Arial" w:hAnsi="Arial"/>
          <w:sz w:val="20"/>
          <w:szCs w:val="20"/>
        </w:rPr>
        <w:t xml:space="preserve">GST reconciliation and compliance support, TDS processes, ROC/MCA filing exposure (AOC-4, MGT-7, DIR-3 KYC), statutory documentation</w:t>
      </w:r>
    </w:p>
    <w:p>
      <w:pPr>
        <w:spacing w:after="40"/>
      </w:pPr>
      <w:r>
        <w:rPr>
          <w:rFonts w:ascii="Arial" w:cs="Arial" w:eastAsia="Arial" w:hAnsi="Arial"/>
          <w:b/>
          <w:bCs/>
          <w:sz w:val="20"/>
          <w:szCs w:val="20"/>
        </w:rPr>
        <w:t xml:space="preserve">Tools: </w:t>
      </w:r>
      <w:r>
        <w:rPr>
          <w:rFonts w:ascii="Arial" w:cs="Arial" w:eastAsia="Arial" w:hAnsi="Arial"/>
          <w:sz w:val="20"/>
          <w:szCs w:val="20"/>
        </w:rPr>
        <w:t xml:space="preserve">Tally Prime, Microsoft Excel (Pivot Tables, VLOOKUP, XLOOKUP, SUMIFS), accounting spreadsheets and reconciliation reports</w:t>
      </w:r>
    </w:p>
    <w:p>
      <w:pPr>
        <w:keepNext/>
        <w:pBdr>
          <w:bottom w:val="single" w:color="1B5D58" w:sz="6" w:space="2"/>
        </w:pBdr>
        <w:spacing w:after="90" w:before="170"/>
      </w:pPr>
      <w:r>
        <w:rPr>
          <w:rFonts w:ascii="Arial" w:cs="Arial" w:eastAsia="Arial" w:hAnsi="Arial"/>
          <w:b/>
          <w:bCs/>
          <w:color w:val="1B5D58"/>
          <w:sz w:val="21"/>
          <w:szCs w:val="21"/>
        </w:rPr>
        <w:t xml:space="preserve">PROFESSIONAL EXPERIENCE</w:t>
      </w:r>
    </w:p>
    <w:p>
      <w:pPr>
        <w:keepNext/>
        <w:tabs>
          <w:tab w:val="right" w:pos="9906"/>
        </w:tabs>
        <w:spacing w:after="20" w:before="90"/>
      </w:pPr>
      <w:r>
        <w:rPr>
          <w:rFonts w:ascii="Arial" w:cs="Arial" w:eastAsia="Arial" w:hAnsi="Arial"/>
          <w:b/>
          <w:bCs/>
          <w:sz w:val="21"/>
          <w:szCs w:val="21"/>
        </w:rPr>
        <w:t xml:space="preserve">Senior Accounts Executive</w:t>
      </w:r>
      <w:r>
        <w:rPr>
          <w:rFonts w:ascii="Arial" w:cs="Arial" w:eastAsia="Arial" w:hAnsi="Arial"/>
          <w:color w:val="444444"/>
          <w:sz w:val="20"/>
          <w:szCs w:val="20"/>
        </w:rPr>
        <w:t xml:space="preserve">	Jan 2020 – Present</w:t>
      </w:r>
    </w:p>
    <w:p>
      <w:pPr>
        <w:keepNext/>
        <w:spacing w:after="40"/>
      </w:pPr>
      <w:r>
        <w:rPr>
          <w:rFonts w:ascii="Arial" w:cs="Arial" w:eastAsia="Arial" w:hAnsi="Arial"/>
          <w:i/>
          <w:iCs/>
          <w:color w:val="1B5D58"/>
          <w:sz w:val="20"/>
          <w:szCs w:val="20"/>
        </w:rPr>
        <w:t xml:space="preserve">Ebix Travels Pvt. Ltd. (Via.com), Bengaluru</w:t>
      </w:r>
    </w:p>
    <w:p>
      <w:pPr>
        <w:pStyle w:val="ListParagraph"/>
        <w:numPr>
          <w:ilvl w:val="0"/>
          <w:numId w:val="2"/>
        </w:numPr>
        <w:spacing w:after="35"/>
      </w:pPr>
      <w:r>
        <w:rPr>
          <w:rFonts w:ascii="Arial" w:cs="Arial" w:eastAsia="Arial" w:hAnsi="Arial"/>
          <w:sz w:val="20"/>
          <w:szCs w:val="20"/>
        </w:rPr>
        <w:t xml:space="preserve">Verify agent and distributor deposits against bank statements and update wallet balances after verification.</w:t>
      </w:r>
    </w:p>
    <w:p>
      <w:pPr>
        <w:pStyle w:val="ListParagraph"/>
        <w:numPr>
          <w:ilvl w:val="0"/>
          <w:numId w:val="2"/>
        </w:numPr>
        <w:spacing w:after="35"/>
      </w:pPr>
      <w:r>
        <w:rPr>
          <w:rFonts w:ascii="Arial" w:cs="Arial" w:eastAsia="Arial" w:hAnsi="Arial"/>
          <w:sz w:val="20"/>
          <w:szCs w:val="20"/>
        </w:rPr>
        <w:t xml:space="preserve">Perform daily bank-to-system and payment gateway reconciliation (PayU, CCAvenue, TPSL, HDFC, ICICI); resolve mismatches.</w:t>
      </w:r>
    </w:p>
    <w:p>
      <w:pPr>
        <w:pStyle w:val="ListParagraph"/>
        <w:numPr>
          <w:ilvl w:val="0"/>
          <w:numId w:val="2"/>
        </w:numPr>
        <w:spacing w:after="35"/>
      </w:pPr>
      <w:r>
        <w:rPr>
          <w:rFonts w:ascii="Arial" w:cs="Arial" w:eastAsia="Arial" w:hAnsi="Arial"/>
          <w:sz w:val="20"/>
          <w:szCs w:val="20"/>
        </w:rPr>
        <w:t xml:space="preserve">Process bank-to-bank, wallet-to-bank, FMN-to-bank and airline backend refunds per approval and documentation requirements.</w:t>
      </w:r>
    </w:p>
    <w:p>
      <w:pPr>
        <w:pStyle w:val="ListParagraph"/>
        <w:numPr>
          <w:ilvl w:val="0"/>
          <w:numId w:val="2"/>
        </w:numPr>
        <w:spacing w:after="35"/>
      </w:pPr>
      <w:r>
        <w:rPr>
          <w:rFonts w:ascii="Arial" w:cs="Arial" w:eastAsia="Arial" w:hAnsi="Arial"/>
          <w:sz w:val="20"/>
          <w:szCs w:val="20"/>
        </w:rPr>
        <w:t xml:space="preserve">Handle payment processing, ID-to-ID transfers and NRFD transactions; prepare daily bank debit summaries.</w:t>
      </w:r>
    </w:p>
    <w:p>
      <w:pPr>
        <w:pStyle w:val="ListParagraph"/>
        <w:numPr>
          <w:ilvl w:val="0"/>
          <w:numId w:val="2"/>
        </w:numPr>
        <w:spacing w:after="35"/>
      </w:pPr>
      <w:r>
        <w:rPr>
          <w:rFonts w:ascii="Arial" w:cs="Arial" w:eastAsia="Arial" w:hAnsi="Arial"/>
          <w:sz w:val="20"/>
          <w:szCs w:val="20"/>
        </w:rPr>
        <w:t xml:space="preserve">Support month-end accounting activities.</w:t>
      </w:r>
    </w:p>
    <w:p>
      <w:pPr>
        <w:keepNext/>
        <w:tabs>
          <w:tab w:val="right" w:pos="9906"/>
        </w:tabs>
        <w:spacing w:after="20" w:before="90"/>
      </w:pPr>
      <w:r>
        <w:rPr>
          <w:rFonts w:ascii="Arial" w:cs="Arial" w:eastAsia="Arial" w:hAnsi="Arial"/>
          <w:b/>
          <w:bCs/>
          <w:sz w:val="21"/>
          <w:szCs w:val="21"/>
        </w:rPr>
        <w:t xml:space="preserve">Operations Manager</w:t>
      </w:r>
      <w:r>
        <w:rPr>
          <w:rFonts w:ascii="Arial" w:cs="Arial" w:eastAsia="Arial" w:hAnsi="Arial"/>
          <w:color w:val="444444"/>
          <w:sz w:val="20"/>
          <w:szCs w:val="20"/>
        </w:rPr>
        <w:t xml:space="preserve">	Aug 2018 – Jan 2020</w:t>
      </w:r>
    </w:p>
    <w:p>
      <w:pPr>
        <w:keepNext/>
        <w:spacing w:after="40"/>
      </w:pPr>
      <w:r>
        <w:rPr>
          <w:rFonts w:ascii="Arial" w:cs="Arial" w:eastAsia="Arial" w:hAnsi="Arial"/>
          <w:i/>
          <w:iCs/>
          <w:color w:val="1B5D58"/>
          <w:sz w:val="20"/>
          <w:szCs w:val="20"/>
        </w:rPr>
        <w:t xml:space="preserve">Kautilya Corporate Solutions Pvt. Ltd.</w:t>
      </w:r>
    </w:p>
    <w:p>
      <w:pPr>
        <w:pStyle w:val="ListParagraph"/>
        <w:numPr>
          <w:ilvl w:val="0"/>
          <w:numId w:val="2"/>
        </w:numPr>
        <w:spacing w:after="35"/>
      </w:pPr>
      <w:r>
        <w:rPr>
          <w:rFonts w:ascii="Arial" w:cs="Arial" w:eastAsia="Arial" w:hAnsi="Arial"/>
          <w:sz w:val="20"/>
          <w:szCs w:val="20"/>
        </w:rPr>
        <w:t xml:space="preserve">Handled GST reconciliation and supported GST filing and compliance for clients.</w:t>
      </w:r>
    </w:p>
    <w:p>
      <w:pPr>
        <w:pStyle w:val="ListParagraph"/>
        <w:numPr>
          <w:ilvl w:val="0"/>
          <w:numId w:val="2"/>
        </w:numPr>
        <w:spacing w:after="35"/>
      </w:pPr>
      <w:r>
        <w:rPr>
          <w:rFonts w:ascii="Arial" w:cs="Arial" w:eastAsia="Arial" w:hAnsi="Arial"/>
          <w:sz w:val="20"/>
          <w:szCs w:val="20"/>
        </w:rPr>
        <w:t xml:space="preserve">Posted ledgers, prepared journal entries and statutory documentation; supported ROC/MCA filings (AOC-4, MGT-7, DIR-3 KYC).</w:t>
      </w:r>
    </w:p>
    <w:p>
      <w:pPr>
        <w:keepNext/>
        <w:tabs>
          <w:tab w:val="right" w:pos="9906"/>
        </w:tabs>
        <w:spacing w:after="20" w:before="90"/>
      </w:pPr>
      <w:r>
        <w:rPr>
          <w:rFonts w:ascii="Arial" w:cs="Arial" w:eastAsia="Arial" w:hAnsi="Arial"/>
          <w:b/>
          <w:bCs/>
          <w:sz w:val="21"/>
          <w:szCs w:val="21"/>
        </w:rPr>
        <w:t xml:space="preserve">Assistant Auditor</w:t>
      </w:r>
      <w:r>
        <w:rPr>
          <w:rFonts w:ascii="Arial" w:cs="Arial" w:eastAsia="Arial" w:hAnsi="Arial"/>
          <w:color w:val="444444"/>
          <w:sz w:val="20"/>
          <w:szCs w:val="20"/>
        </w:rPr>
        <w:t xml:space="preserve">	Apr 2018 – Jul 2018</w:t>
      </w:r>
    </w:p>
    <w:p>
      <w:pPr>
        <w:keepNext/>
        <w:spacing w:after="40"/>
      </w:pPr>
      <w:r>
        <w:rPr>
          <w:rFonts w:ascii="Arial" w:cs="Arial" w:eastAsia="Arial" w:hAnsi="Arial"/>
          <w:i/>
          <w:iCs/>
          <w:color w:val="1B5D58"/>
          <w:sz w:val="20"/>
          <w:szCs w:val="20"/>
        </w:rPr>
        <w:t xml:space="preserve">A.K. Sinha &amp; Co.</w:t>
      </w:r>
    </w:p>
    <w:p>
      <w:pPr>
        <w:pStyle w:val="ListParagraph"/>
        <w:numPr>
          <w:ilvl w:val="0"/>
          <w:numId w:val="2"/>
        </w:numPr>
        <w:spacing w:after="35"/>
      </w:pPr>
      <w:r>
        <w:rPr>
          <w:rFonts w:ascii="Arial" w:cs="Arial" w:eastAsia="Arial" w:hAnsi="Arial"/>
          <w:sz w:val="20"/>
          <w:szCs w:val="20"/>
        </w:rPr>
        <w:t xml:space="preserve">Assisted audits of schools, banks and institutions: ledger scrutiny, voucher verification, reconciliations, trial balance support.</w:t>
      </w:r>
    </w:p>
    <w:p>
      <w:pPr>
        <w:keepNext/>
        <w:tabs>
          <w:tab w:val="right" w:pos="9906"/>
        </w:tabs>
        <w:spacing w:after="20" w:before="90"/>
      </w:pPr>
      <w:r>
        <w:rPr>
          <w:rFonts w:ascii="Arial" w:cs="Arial" w:eastAsia="Arial" w:hAnsi="Arial"/>
          <w:b/>
          <w:bCs/>
          <w:sz w:val="21"/>
          <w:szCs w:val="21"/>
        </w:rPr>
        <w:t xml:space="preserve">Insurance Advisor</w:t>
      </w:r>
      <w:r>
        <w:rPr>
          <w:rFonts w:ascii="Arial" w:cs="Arial" w:eastAsia="Arial" w:hAnsi="Arial"/>
          <w:color w:val="444444"/>
          <w:sz w:val="20"/>
          <w:szCs w:val="20"/>
        </w:rPr>
        <w:t xml:space="preserve">	Jul 2017 – Feb 2018</w:t>
      </w:r>
    </w:p>
    <w:p>
      <w:pPr>
        <w:keepNext/>
        <w:spacing w:after="40"/>
      </w:pPr>
      <w:r>
        <w:rPr>
          <w:rFonts w:ascii="Arial" w:cs="Arial" w:eastAsia="Arial" w:hAnsi="Arial"/>
          <w:i/>
          <w:iCs/>
          <w:color w:val="1B5D58"/>
          <w:sz w:val="20"/>
          <w:szCs w:val="20"/>
        </w:rPr>
        <w:t xml:space="preserve">Bajaj Capital Ltd.</w:t>
      </w:r>
    </w:p>
    <w:p>
      <w:pPr>
        <w:pStyle w:val="ListParagraph"/>
        <w:numPr>
          <w:ilvl w:val="0"/>
          <w:numId w:val="2"/>
        </w:numPr>
        <w:spacing w:after="35"/>
      </w:pPr>
      <w:r>
        <w:rPr>
          <w:rFonts w:ascii="Arial" w:cs="Arial" w:eastAsia="Arial" w:hAnsi="Arial"/>
          <w:sz w:val="20"/>
          <w:szCs w:val="20"/>
        </w:rPr>
        <w:t xml:space="preserve">Advised clients on insurance and investment products; handled documentation, policy processing and renewals.</w:t>
      </w:r>
    </w:p>
    <w:p>
      <w:pPr>
        <w:keepNext/>
        <w:pBdr>
          <w:bottom w:val="single" w:color="1B5D58" w:sz="6" w:space="2"/>
        </w:pBdr>
        <w:spacing w:after="90" w:before="170"/>
      </w:pPr>
      <w:r>
        <w:rPr>
          <w:rFonts w:ascii="Arial" w:cs="Arial" w:eastAsia="Arial" w:hAnsi="Arial"/>
          <w:b/>
          <w:bCs/>
          <w:color w:val="1B5D58"/>
          <w:sz w:val="21"/>
          <w:szCs w:val="21"/>
        </w:rPr>
        <w:t xml:space="preserve">EDUCATION &amp; CERTIFICATION</w:t>
      </w:r>
    </w:p>
    <w:p>
      <w:pPr>
        <w:keepNext/>
        <w:keepLines/>
        <w:spacing w:after="60"/>
      </w:pPr>
      <w:r>
        <w:rPr>
          <w:rFonts w:ascii="Arial" w:cs="Arial" w:eastAsia="Arial" w:hAnsi="Arial"/>
          <w:b/>
          <w:bCs/>
          <w:sz w:val="20"/>
          <w:szCs w:val="20"/>
        </w:rPr>
        <w:t xml:space="preserve">Master of Commerce (M.Com)</w:t>
      </w:r>
      <w:r>
        <w:rPr>
          <w:rFonts w:ascii="Arial" w:cs="Arial" w:eastAsia="Arial" w:hAnsi="Arial"/>
          <w:sz w:val="20"/>
          <w:szCs w:val="20"/>
        </w:rPr>
        <w:t xml:space="preserve">, Indira Gandhi National Open University (IGNOU), 2017–2019</w:t>
      </w:r>
    </w:p>
    <w:p>
      <w:pPr>
        <w:keepNext/>
        <w:keepLines/>
        <w:spacing w:after="60"/>
      </w:pPr>
      <w:r>
        <w:rPr>
          <w:rFonts w:ascii="Arial" w:cs="Arial" w:eastAsia="Arial" w:hAnsi="Arial"/>
          <w:b/>
          <w:bCs/>
          <w:sz w:val="20"/>
          <w:szCs w:val="20"/>
        </w:rPr>
        <w:t xml:space="preserve">Bachelor of Business Management (BBM)</w:t>
      </w:r>
      <w:r>
        <w:rPr>
          <w:rFonts w:ascii="Arial" w:cs="Arial" w:eastAsia="Arial" w:hAnsi="Arial"/>
          <w:sz w:val="20"/>
          <w:szCs w:val="20"/>
        </w:rPr>
        <w:t xml:space="preserve">, Mirza Ghalib College, Gaya, 2011–2014</w:t>
      </w:r>
    </w:p>
    <w:p>
      <w:pPr>
        <w:spacing w:after="30"/>
      </w:pPr>
      <w:r>
        <w:rPr>
          <w:rFonts w:ascii="Arial" w:cs="Arial" w:eastAsia="Arial" w:hAnsi="Arial"/>
          <w:b/>
          <w:bCs/>
          <w:sz w:val="20"/>
          <w:szCs w:val="20"/>
        </w:rPr>
        <w:t xml:space="preserve">Tax Pro Professional</w:t>
      </w:r>
      <w:r>
        <w:rPr>
          <w:rFonts w:ascii="Arial" w:cs="Arial" w:eastAsia="Arial" w:hAnsi="Arial"/>
          <w:sz w:val="20"/>
          <w:szCs w:val="20"/>
        </w:rPr>
        <w:t xml:space="preserve">, ITAA Education Pvt. Ltd. (advanced accounting, direct taxation and GST)</w:t>
      </w:r>
    </w:p>
    <w:sectPr>
      <w:pgSz w:w="11906" w:h="16838" w:orient="portrait"/>
      <w:pgMar w:top="700" w:right="1000" w:bottom="7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2026-10-21T06:36:43.534Z</dcterms:created>
  <dcterms:modified xsi:type="dcterms:W3CDTF">2026-10-21T06:36:43.534Z</dcterms:modified>
</cp:coreProperties>
</file>

<file path=docProps/custom.xml><?xml version="1.0" encoding="utf-8"?>
<Properties xmlns="http://schemas.openxmlformats.org/officeDocument/2006/custom-properties" xmlns:vt="http://schemas.openxmlformats.org/officeDocument/2006/docPropsVTypes"/>
</file>