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2255661786c4836" /><Relationship Type="http://schemas.openxmlformats.org/package/2006/relationships/metadata/core-properties" Target="/docProps/core.xml" Id="R411e2a1d3c78438a" /><Relationship Type="http://schemas.openxmlformats.org/officeDocument/2006/relationships/extended-properties" Target="/docProps/app.xml" Id="Rbec86eb786c440c8" /><Relationship Type="http://schemas.openxmlformats.org/officeDocument/2006/relationships/custom-properties" Target="/docProps/custom.xml" Id="R5e20e508d40a485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2"/>
        </w:rPr>
        <w:t xml:space="preserve">Global Supply Chain Risk Prediction — 2026</w:t>
      </w:r>
    </w:p>
    <w:p w14:paraId="00100002" w14:textId="00100003">
      <w:pPr>
        <w:pStyle w:val="Subtitle"/>
        <w:spacing w:after="120"/>
        <w:jc w:val="center"/>
      </w:pPr>
      <w:r>
        <w:rPr>
          <w:sz w:val="32"/>
        </w:rPr>
        <w:t xml:space="preserve">Project Report</w:t>
      </w:r>
    </w:p>
    <w:p w14:paraId="00100004" w14:textId="00100005">
      <w:pPr>
        <w:spacing w:after="480"/>
        <w:jc w:val="center"/>
      </w:pPr>
      <w:r>
        <w:rPr>
          <w:sz w:val="22"/>
        </w:rPr>
        <w:t xml:space="preserve">Author: Vinay Naikv   |   Dataset: global_supply_chain_risk_2026.csv   |   Records: 5,000 Shipments</w:t>
      </w:r>
    </w:p>
    <w:p w14:paraId="00100006" w14:textId="00100007">
      <w:pPr>
        <w:pStyle w:val="Heading1"/>
        <w:spacing w:after="120"/>
      </w:pPr>
      <w:r>
        <w:rPr>
          <w:b/>
          <w:sz w:val="32"/>
        </w:rPr>
        <w:t xml:space="preserve">Table of Contents</w:t>
      </w:r>
    </w:p>
    <w:p w14:paraId="0010015E" w14:textId="0010015F">
      <w:r>
        <w:fldChar w:fldCharType="begin"/>
      </w:r>
      <w:r>
        <w:instrText xml:space="preserve"> TOC \o "1-3" \h \u </w:instrText>
      </w:r>
      <w:r>
        <w:fldChar w:fldCharType="separate"/>
      </w:r>
      <w:r>
        <w:t xml:space="preserve">Update field to see table of contents</w:t>
      </w:r>
      <w:r>
        <w:fldChar w:fldCharType="end"/>
      </w:r>
    </w:p>
    <w:p w14:paraId="00100008" w14:textId="00100009">
      <w:pPr>
        <w:pStyle w:val="Heading1"/>
        <w:spacing w:before="360" w:after="160"/>
      </w:pPr>
      <w:r>
        <w:rPr>
          <w:b/>
          <w:sz w:val="32"/>
        </w:rPr>
        <w:t xml:space="preserve">1. Executive Summary</w:t>
      </w:r>
    </w:p>
    <w:p w14:paraId="0010000A" w14:textId="0010000B">
      <w:pPr>
        <w:spacing w:after="200"/>
      </w:pPr>
      <w:r>
        <w:rPr>
          <w:sz w:val="22"/>
        </w:rPr>
        <w:t xml:space="preserve">This project presents a comprehensive machine learning–based solution for predicting supply chain disruptions across global trade lanes. Using the Global Supply Chain Risk 2026 dataset containing 5,000 shipments across multiple ports, transport modes, and product categories, we developed and evaluated five classification models. The best-performing model, XGBoost, achieves over 85% accuracy and a ROC-AUC above 0.90, identifying geopolitical risk, carrier reliability, fuel price, and distance as the primary disruption drivers. The insights generated provide actionable intelligence for logistics managers to proactively manage risk.</w:t>
      </w:r>
    </w:p>
    <w:p w14:paraId="0010000C" w14:textId="0010000D">
      <w:pPr>
        <w:pStyle w:val="Heading1"/>
        <w:spacing w:before="360" w:after="160"/>
      </w:pPr>
      <w:r>
        <w:rPr>
          <w:b/>
          <w:sz w:val="32"/>
        </w:rPr>
        <w:t xml:space="preserve">2. Project Objectives</w:t>
      </w:r>
    </w:p>
    <w:p w14:paraId="0010000E" w14:textId="0010000F">
      <w:pPr>
        <w:spacing w:after="120"/>
      </w:pPr>
      <w:r>
        <w:rPr>
          <w:sz w:val="22"/>
        </w:rPr>
        <w:t xml:space="preserve">The project targets the following objectives:</w:t>
      </w:r>
    </w:p>
    <w:p w14:paraId="00100010" w14:textId="00100011">
      <w:pPr>
        <w:numPr>
          <w:ilvl w:val="0"/>
          <w:numId w:val="1"/>
        </w:numPr>
        <w:spacing w:after="80"/>
      </w:pPr>
      <w:r>
        <w:rPr>
          <w:sz w:val="22"/>
        </w:rPr>
        <w:t xml:space="preserve">1. Perform comprehensive exploratory data analysis (EDA) on shipment records.</w:t>
      </w:r>
    </w:p>
    <w:p w14:paraId="00100012" w14:textId="00100013">
      <w:pPr>
        <w:numPr>
          <w:ilvl w:val="0"/>
          <w:numId w:val="1"/>
        </w:numPr>
        <w:spacing w:after="80"/>
      </w:pPr>
      <w:r>
        <w:rPr>
          <w:sz w:val="22"/>
        </w:rPr>
        <w:t xml:space="preserve">2. Engineer meaningful features from raw attributes (temporal, interaction, inverse reliability).</w:t>
      </w:r>
    </w:p>
    <w:p w14:paraId="00100014" w14:textId="00100015">
      <w:pPr>
        <w:numPr>
          <w:ilvl w:val="0"/>
          <w:numId w:val="1"/>
        </w:numPr>
        <w:spacing w:after="80"/>
      </w:pPr>
      <w:r>
        <w:rPr>
          <w:sz w:val="22"/>
        </w:rPr>
        <w:t xml:space="preserve">3. Train and compare five supervised classification algorithms.</w:t>
      </w:r>
    </w:p>
    <w:p w14:paraId="00100016" w14:textId="00100017">
      <w:pPr>
        <w:numPr>
          <w:ilvl w:val="0"/>
          <w:numId w:val="1"/>
        </w:numPr>
        <w:spacing w:after="80"/>
      </w:pPr>
      <w:r>
        <w:rPr>
          <w:sz w:val="22"/>
        </w:rPr>
        <w:t xml:space="preserve">4. Identify the most influential risk factors using feature importance analysis.</w:t>
      </w:r>
    </w:p>
    <w:p w14:paraId="00100018" w14:textId="00100019">
      <w:pPr>
        <w:numPr>
          <w:ilvl w:val="0"/>
          <w:numId w:val="1"/>
        </w:numPr>
        <w:spacing w:after="80"/>
      </w:pPr>
      <w:r>
        <w:rPr>
          <w:sz w:val="22"/>
        </w:rPr>
        <w:t xml:space="preserve">5. Profile high-risk trade routes for targeted mitigation strategies.</w:t>
      </w:r>
    </w:p>
    <w:p w14:paraId="0010001A" w14:textId="0010001B">
      <w:pPr>
        <w:pStyle w:val="Heading1"/>
        <w:spacing w:before="360" w:after="160"/>
      </w:pPr>
      <w:r>
        <w:rPr>
          <w:b/>
          <w:sz w:val="32"/>
        </w:rPr>
        <w:t xml:space="preserve">3. Dataset Description</w:t>
      </w:r>
    </w:p>
    <w:p w14:paraId="0010001C" w14:textId="0010001D">
      <w:pPr>
        <w:spacing w:after="200"/>
      </w:pPr>
      <w:r>
        <w:rPr>
          <w:b/>
          <w:sz w:val="22"/>
        </w:rPr>
        <w:t xml:space="preserve">Dataset: global_supply_chain_risk_2026.csv  |  Total Records: 5,000  |  Features: 14  |  Target: Disruption_Occurred (binary: 0/1)</w:t>
      </w:r>
    </w:p>
    <w:p w14:paraId="0010001E" w14:textId="0010001F">
      <w:pPr>
        <w:pStyle w:val="Heading2"/>
        <w:spacing w:before="240" w:after="120"/>
      </w:pPr>
      <w:r>
        <w:rPr>
          <w:b/>
          <w:sz w:val="26"/>
        </w:rPr>
        <w:t xml:space="preserve">3.1 Feature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0" w14:textId="00100021">
            <w:r>
              <w:t xml:space="preserve">Feature</w:t>
            </w:r>
          </w:p>
        </w:tc>
        <w:tc>
          <w:p w14:paraId="00100022" w14:textId="00100023">
            <w:r>
              <w:t xml:space="preserve">Type</w:t>
            </w:r>
          </w:p>
        </w:tc>
        <w:tc>
          <w:p w14:paraId="00100024" w14:textId="00100025">
            <w:r>
              <w:t xml:space="preserve">Description</w:t>
            </w:r>
          </w:p>
        </w:tc>
      </w:tr>
      <w:tr>
        <w:trPr/>
        <w:tc>
          <w:p w14:paraId="00100026" w14:textId="00100027">
            <w:r>
              <w:t xml:space="preserve">Shipment_ID</w:t>
            </w:r>
          </w:p>
        </w:tc>
        <w:tc>
          <w:p w14:paraId="00100028" w14:textId="00100029">
            <w:r>
              <w:t xml:space="preserve">Categorical</w:t>
            </w:r>
          </w:p>
        </w:tc>
        <w:tc>
          <w:p w14:paraId="0010002A" w14:textId="0010002B">
            <w:r>
              <w:t xml:space="preserve">Unique shipment identifier (SC-XXXXX)</w:t>
            </w:r>
          </w:p>
        </w:tc>
      </w:tr>
      <w:tr>
        <w:trPr/>
        <w:tc>
          <w:p w14:paraId="0010002C" w14:textId="0010002D">
            <w:r>
              <w:t xml:space="preserve">Date</w:t>
            </w:r>
          </w:p>
        </w:tc>
        <w:tc>
          <w:p w14:paraId="0010002E" w14:textId="0010002F">
            <w:r>
              <w:t xml:space="preserve">DateTime</w:t>
            </w:r>
          </w:p>
        </w:tc>
        <w:tc>
          <w:p w14:paraId="00100030" w14:textId="00100031">
            <w:r>
              <w:t xml:space="preserve">Shipment dispatch date (2024–2026)</w:t>
            </w:r>
          </w:p>
        </w:tc>
      </w:tr>
      <w:tr>
        <w:trPr/>
        <w:tc>
          <w:p w14:paraId="00100032" w14:textId="00100033">
            <w:r>
              <w:t xml:space="preserve">Origin_Port</w:t>
            </w:r>
          </w:p>
        </w:tc>
        <w:tc>
          <w:p w14:paraId="00100034" w14:textId="00100035">
            <w:r>
              <w:t xml:space="preserve">Categorical</w:t>
            </w:r>
          </w:p>
        </w:tc>
        <w:tc>
          <w:p w14:paraId="00100036" w14:textId="00100037">
            <w:r>
              <w:t xml:space="preserve">Port of origin (Singapore, Rotterdam, Shanghai, etc.)</w:t>
            </w:r>
          </w:p>
        </w:tc>
      </w:tr>
      <w:tr>
        <w:trPr/>
        <w:tc>
          <w:p w14:paraId="00100038" w14:textId="00100039">
            <w:r>
              <w:t xml:space="preserve">Destination_Port</w:t>
            </w:r>
          </w:p>
        </w:tc>
        <w:tc>
          <w:p w14:paraId="0010003A" w14:textId="0010003B">
            <w:r>
              <w:t xml:space="preserve">Categorical</w:t>
            </w:r>
          </w:p>
        </w:tc>
        <w:tc>
          <w:p w14:paraId="0010003C" w14:textId="0010003D">
            <w:r>
              <w:t xml:space="preserve">Port of destination (Los Angeles, Hamburg, Antwerp, etc.)</w:t>
            </w:r>
          </w:p>
        </w:tc>
      </w:tr>
      <w:tr>
        <w:trPr/>
        <w:tc>
          <w:p w14:paraId="0010003E" w14:textId="0010003F">
            <w:r>
              <w:t xml:space="preserve">Transport_Mode</w:t>
            </w:r>
          </w:p>
        </w:tc>
        <w:tc>
          <w:p w14:paraId="00100040" w14:textId="00100041">
            <w:r>
              <w:t xml:space="preserve">Categorical</w:t>
            </w:r>
          </w:p>
        </w:tc>
        <w:tc>
          <w:p w14:paraId="00100042" w14:textId="00100043">
            <w:r>
              <w:t xml:space="preserve">Mode of transport: Air, Rail, Road, Sea</w:t>
            </w:r>
          </w:p>
        </w:tc>
      </w:tr>
      <w:tr>
        <w:trPr/>
        <w:tc>
          <w:p w14:paraId="00100044" w14:textId="00100045">
            <w:r>
              <w:t xml:space="preserve">Product_Category</w:t>
            </w:r>
          </w:p>
        </w:tc>
        <w:tc>
          <w:p w14:paraId="00100046" w14:textId="00100047">
            <w:r>
              <w:t xml:space="preserve">Categorical</w:t>
            </w:r>
          </w:p>
        </w:tc>
        <w:tc>
          <w:p w14:paraId="00100048" w14:textId="00100049">
            <w:r>
              <w:t xml:space="preserve">Category: Electronics, Perishables, Automotive, Textiles, Pharmaceuticals</w:t>
            </w:r>
          </w:p>
        </w:tc>
      </w:tr>
      <w:tr>
        <w:trPr/>
        <w:tc>
          <w:p w14:paraId="0010004A" w14:textId="0010004B">
            <w:r>
              <w:t xml:space="preserve">Distance_km</w:t>
            </w:r>
          </w:p>
        </w:tc>
        <w:tc>
          <w:p w14:paraId="0010004C" w14:textId="0010004D">
            <w:r>
              <w:t xml:space="preserve">Numerical</w:t>
            </w:r>
          </w:p>
        </w:tc>
        <w:tc>
          <w:p w14:paraId="0010004E" w14:textId="0010004F">
            <w:r>
              <w:t xml:space="preserve">Shipment distance in kilometres</w:t>
            </w:r>
          </w:p>
        </w:tc>
      </w:tr>
      <w:tr>
        <w:trPr/>
        <w:tc>
          <w:p w14:paraId="00100050" w14:textId="00100051">
            <w:r>
              <w:t xml:space="preserve">Weight_MT</w:t>
            </w:r>
          </w:p>
        </w:tc>
        <w:tc>
          <w:p w14:paraId="00100052" w14:textId="00100053">
            <w:r>
              <w:t xml:space="preserve">Numerical</w:t>
            </w:r>
          </w:p>
        </w:tc>
        <w:tc>
          <w:p w14:paraId="00100054" w14:textId="00100055">
            <w:r>
              <w:t xml:space="preserve">Cargo weight in metric tons</w:t>
            </w:r>
          </w:p>
        </w:tc>
      </w:tr>
      <w:tr>
        <w:trPr/>
        <w:tc>
          <w:p w14:paraId="00100056" w14:textId="00100057">
            <w:r>
              <w:t xml:space="preserve">Fuel_Price_Index</w:t>
            </w:r>
          </w:p>
        </w:tc>
        <w:tc>
          <w:p w14:paraId="00100058" w14:textId="00100059">
            <w:r>
              <w:t xml:space="preserve">Numerical</w:t>
            </w:r>
          </w:p>
        </w:tc>
        <w:tc>
          <w:p w14:paraId="0010005A" w14:textId="0010005B">
            <w:r>
              <w:t xml:space="preserve">Relative fuel price index at time of shipment</w:t>
            </w:r>
          </w:p>
        </w:tc>
      </w:tr>
      <w:tr>
        <w:trPr/>
        <w:tc>
          <w:p w14:paraId="0010005C" w14:textId="0010005D">
            <w:r>
              <w:t xml:space="preserve">Geopolitical_Risk_Score</w:t>
            </w:r>
          </w:p>
        </w:tc>
        <w:tc>
          <w:p w14:paraId="0010005E" w14:textId="0010005F">
            <w:r>
              <w:t xml:space="preserve">Numerical</w:t>
            </w:r>
          </w:p>
        </w:tc>
        <w:tc>
          <w:p w14:paraId="00100060" w14:textId="00100061">
            <w:r>
              <w:t xml:space="preserve">Risk score (0–10) for origin-destination corridor</w:t>
            </w:r>
          </w:p>
        </w:tc>
      </w:tr>
      <w:tr>
        <w:trPr/>
        <w:tc>
          <w:p w14:paraId="00100062" w14:textId="00100063">
            <w:r>
              <w:t xml:space="preserve">Weather_Condition</w:t>
            </w:r>
          </w:p>
        </w:tc>
        <w:tc>
          <w:p w14:paraId="00100064" w14:textId="00100065">
            <w:r>
              <w:t xml:space="preserve">Categorical</w:t>
            </w:r>
          </w:p>
        </w:tc>
        <w:tc>
          <w:p w14:paraId="00100066" w14:textId="00100067">
            <w:r>
              <w:t xml:space="preserve">Prevailing weather: Clear, Rain, Storm, Hurricane, Fog</w:t>
            </w:r>
          </w:p>
        </w:tc>
      </w:tr>
      <w:tr>
        <w:trPr/>
        <w:tc>
          <w:p w14:paraId="00100068" w14:textId="00100069">
            <w:r>
              <w:t xml:space="preserve">Carrier_Reliability_Score</w:t>
            </w:r>
          </w:p>
        </w:tc>
        <w:tc>
          <w:p w14:paraId="0010006A" w14:textId="0010006B">
            <w:r>
              <w:t xml:space="preserve">Numerical</w:t>
            </w:r>
          </w:p>
        </w:tc>
        <w:tc>
          <w:p w14:paraId="0010006C" w14:textId="0010006D">
            <w:r>
              <w:t xml:space="preserve">Carrier performance score (0–1; 1 = fully reliable)</w:t>
            </w:r>
          </w:p>
        </w:tc>
      </w:tr>
      <w:tr>
        <w:trPr/>
        <w:tc>
          <w:p w14:paraId="0010006E" w14:textId="0010006F">
            <w:r>
              <w:t xml:space="preserve">Lead_Time_Days</w:t>
            </w:r>
          </w:p>
        </w:tc>
        <w:tc>
          <w:p w14:paraId="00100070" w14:textId="00100071">
            <w:r>
              <w:t xml:space="preserve">Numerical</w:t>
            </w:r>
          </w:p>
        </w:tc>
        <w:tc>
          <w:p w14:paraId="00100072" w14:textId="00100073">
            <w:r>
              <w:t xml:space="preserve">Actual lead time in days from origin to destination</w:t>
            </w:r>
          </w:p>
        </w:tc>
      </w:tr>
      <w:tr>
        <w:trPr/>
        <w:tc>
          <w:p w14:paraId="00100074" w14:textId="00100075">
            <w:r>
              <w:t xml:space="preserve">Disruption_Occurred</w:t>
            </w:r>
          </w:p>
        </w:tc>
        <w:tc>
          <w:p w14:paraId="00100076" w14:textId="00100077">
            <w:r>
              <w:t xml:space="preserve">Binary (Target)</w:t>
            </w:r>
          </w:p>
        </w:tc>
        <w:tc>
          <w:p w14:paraId="00100078" w14:textId="00100079">
            <w:r>
              <w:t xml:space="preserve">1 = disruption occurred, 0 = successful delivery</w:t>
            </w:r>
          </w:p>
        </w:tc>
      </w:tr>
    </w:tbl>
    <w:p w14:paraId="0010007A" w14:textId="0010007B">
      <w:pPr>
        <w:spacing w:after="160"/>
      </w:pPr>
      <w:r>
        <w:rPr>
          <w:sz w:val="12"/>
        </w:rPr>
        <w:t xml:space="preserve"/>
      </w:r>
    </w:p>
    <w:p w14:paraId="0010007C" w14:textId="0010007D">
      <w:pPr>
        <w:pStyle w:val="Heading2"/>
        <w:spacing w:before="240" w:after="120"/>
      </w:pPr>
      <w:r>
        <w:rPr>
          <w:b/>
          <w:sz w:val="26"/>
        </w:rPr>
        <w:t xml:space="preserve">3.2 Target Variable</w:t>
      </w:r>
    </w:p>
    <w:p w14:paraId="0010007E" w14:textId="0010007F">
      <w:pPr>
        <w:spacing w:after="200"/>
      </w:pPr>
      <w:r>
        <w:rPr>
          <w:sz w:val="22"/>
        </w:rPr>
        <w:t xml:space="preserve">The target variable Disruption_Occurred is binary: 1 indicates a disruption event occurred during transit, 0 indicates successful delivery. The dataset exhibits a moderate class imbalance with approximately 65% disruptions, making precision and recall important evaluation metrics alongside accuracy.</w:t>
      </w:r>
    </w:p>
    <w:p w14:paraId="00100080" w14:textId="00100081">
      <w:pPr>
        <w:pStyle w:val="Heading1"/>
        <w:spacing w:before="360" w:after="160"/>
      </w:pPr>
      <w:r>
        <w:rPr>
          <w:b/>
          <w:sz w:val="32"/>
        </w:rPr>
        <w:t xml:space="preserve">4. Exploratory Data Analysis</w:t>
      </w:r>
    </w:p>
    <w:p w14:paraId="00100082" w14:textId="00100083">
      <w:pPr>
        <w:pStyle w:val="Heading2"/>
        <w:spacing w:before="240" w:after="120"/>
      </w:pPr>
      <w:r>
        <w:rPr>
          <w:b/>
          <w:sz w:val="26"/>
        </w:rPr>
        <w:t xml:space="preserve">4.1 Disruption Rate by Transport Mode</w:t>
      </w:r>
    </w:p>
    <w:p w14:paraId="00100084" w14:textId="00100085">
      <w:pPr>
        <w:spacing w:after="200"/>
      </w:pPr>
      <w:r>
        <w:rPr>
          <w:sz w:val="22"/>
        </w:rPr>
        <w:t xml:space="preserve">Air freight exhibits the highest disruption rate driven by weather sensitivity and time-critical scheduling. Road transport shows lower disruption rates for short-haul routes, while Rail experiences higher rates on long international corridors due to cross-border geopolitical exposure.</w:t>
      </w:r>
    </w:p>
    <w:p w14:paraId="00100086" w14:textId="00100087">
      <w:pPr>
        <w:pStyle w:val="Heading2"/>
        <w:spacing w:before="240" w:after="120"/>
      </w:pPr>
      <w:r>
        <w:rPr>
          <w:b/>
          <w:sz w:val="26"/>
        </w:rPr>
        <w:t xml:space="preserve">4.2 Weather &amp; Geopolitical Risk</w:t>
      </w:r>
    </w:p>
    <w:p w14:paraId="00100088" w14:textId="00100089">
      <w:pPr>
        <w:spacing w:after="200"/>
      </w:pPr>
      <w:r>
        <w:rPr>
          <w:sz w:val="22"/>
        </w:rPr>
        <w:t xml:space="preserve">Hurricane and Storm conditions dramatically increase disruption probability (&gt;75% disruption rate). Geopolitical Risk Scores above 7.0 are strongly correlated with disruptions, particularly on routes through high-conflict regions. Clear-weather shipments show disruption rates below 40%.</w:t>
      </w:r>
    </w:p>
    <w:p w14:paraId="0010008A" w14:textId="0010008B">
      <w:pPr>
        <w:pStyle w:val="Heading2"/>
        <w:spacing w:before="240" w:after="120"/>
      </w:pPr>
      <w:r>
        <w:rPr>
          <w:b/>
          <w:sz w:val="26"/>
        </w:rPr>
        <w:t xml:space="preserve">4.3 Carrier Reliability</w:t>
      </w:r>
    </w:p>
    <w:p w14:paraId="0010008C" w14:textId="0010008D">
      <w:pPr>
        <w:spacing w:after="200"/>
      </w:pPr>
      <w:r>
        <w:rPr>
          <w:sz w:val="22"/>
        </w:rPr>
        <w:t xml:space="preserve">Carrier Reliability Score (0–1) shows a strong inverse relationship with disruption probability. Carriers with scores below 0.6 are associated with disruption rates exceeding 80%, while those above 0.9 show rates under 30%. This is the single most controllable risk factor for supply chain managers.</w:t>
      </w:r>
    </w:p>
    <w:p w14:paraId="0010008E" w14:textId="0010008F">
      <w:pPr>
        <w:pStyle w:val="Heading2"/>
        <w:spacing w:before="240" w:after="120"/>
      </w:pPr>
      <w:r>
        <w:rPr>
          <w:b/>
          <w:sz w:val="26"/>
        </w:rPr>
        <w:t xml:space="preserve">4.4 Temporal Trends</w:t>
      </w:r>
    </w:p>
    <w:p w14:paraId="00100090" w14:textId="00100091">
      <w:pPr>
        <w:spacing w:after="200"/>
      </w:pPr>
      <w:r>
        <w:rPr>
          <w:sz w:val="22"/>
        </w:rPr>
        <w:t xml:space="preserve">Monthly disruption rates reveal seasonal peaks in Q3 (July–September) corresponding to hurricane season and elevated geopolitical tensions in the dataset window (2024–2026). Q1 shows relatively stable, lower disruption rates across most trade lanes.</w:t>
      </w:r>
    </w:p>
    <w:p w14:paraId="00100092" w14:textId="00100093">
      <w:pPr>
        <w:pStyle w:val="Heading1"/>
        <w:spacing w:before="360" w:after="160"/>
      </w:pPr>
      <w:r>
        <w:rPr>
          <w:b/>
          <w:sz w:val="32"/>
        </w:rPr>
        <w:t xml:space="preserve">5. Feature Engineering</w:t>
      </w:r>
    </w:p>
    <w:p w14:paraId="00100094" w14:textId="00100095">
      <w:pPr>
        <w:spacing w:after="120"/>
      </w:pPr>
      <w:r>
        <w:rPr>
          <w:sz w:val="22"/>
        </w:rPr>
        <w:t xml:space="preserve">Beyond the 13 raw input features, the following engineered features were created to enhance model performance:</w:t>
      </w:r>
    </w:p>
    <w:p w14:paraId="00100096" w14:textId="00100097">
      <w:pPr>
        <w:numPr>
          <w:ilvl w:val="0"/>
          <w:numId w:val="2"/>
        </w:numPr>
        <w:spacing w:after="80"/>
      </w:pPr>
      <w:r>
        <w:rPr>
          <w:sz w:val="22"/>
        </w:rPr>
        <w:t xml:space="preserve">Month, DayOfWeek, Quarter — Temporal features extracted from the Date field to capture seasonal and weekly patterns.</w:t>
      </w:r>
    </w:p>
    <w:p w14:paraId="00100098" w14:textId="00100099">
      <w:pPr>
        <w:numPr>
          <w:ilvl w:val="0"/>
          <w:numId w:val="2"/>
        </w:numPr>
        <w:spacing w:after="80"/>
      </w:pPr>
      <w:r>
        <w:rPr>
          <w:sz w:val="22"/>
        </w:rPr>
        <w:t xml:space="preserve">Risk_x_Distance — Interaction term: Geopolitical_Risk_Score × Distance_km, capturing compounded exposure on long high-risk routes.</w:t>
      </w:r>
    </w:p>
    <w:p w14:paraId="0010009A" w14:textId="0010009B">
      <w:pPr>
        <w:numPr>
          <w:ilvl w:val="0"/>
          <w:numId w:val="2"/>
        </w:numPr>
        <w:spacing w:after="80"/>
      </w:pPr>
      <w:r>
        <w:rPr>
          <w:sz w:val="22"/>
        </w:rPr>
        <w:t xml:space="preserve">Fuel_x_Distance — Fuel_Price_Index × Distance_km, capturing cost and operational stress on long routes.</w:t>
      </w:r>
    </w:p>
    <w:p w14:paraId="0010009C" w14:textId="0010009D">
      <w:pPr>
        <w:numPr>
          <w:ilvl w:val="0"/>
          <w:numId w:val="2"/>
        </w:numPr>
        <w:spacing w:after="80"/>
      </w:pPr>
      <w:r>
        <w:rPr>
          <w:sz w:val="22"/>
        </w:rPr>
        <w:t xml:space="preserve">Reliability_Inv — (1 - Carrier_Reliability_Score), inversing reliability to make the feature positively correlated with disruption risk.</w:t>
      </w:r>
    </w:p>
    <w:p w14:paraId="0010009E" w14:textId="0010009F">
      <w:pPr>
        <w:numPr>
          <w:ilvl w:val="0"/>
          <w:numId w:val="2"/>
        </w:numPr>
        <w:spacing w:after="200"/>
      </w:pPr>
      <w:r>
        <w:rPr>
          <w:sz w:val="22"/>
        </w:rPr>
        <w:t xml:space="preserve">Label-encoded categorical variables for all five categorical columns using scikit-learn's LabelEncoder.</w:t>
      </w:r>
    </w:p>
    <w:p w14:paraId="001000A0" w14:textId="001000A1">
      <w:pPr>
        <w:spacing w:after="200"/>
      </w:pPr>
      <w:r>
        <w:rPr>
          <w:b/>
          <w:sz w:val="22"/>
        </w:rPr>
        <w:t xml:space="preserve">Final feature set: 19 features after engineering (13 original numeric/encoded + 6 new features).</w:t>
      </w:r>
    </w:p>
    <w:p w14:paraId="001000A2" w14:textId="001000A3">
      <w:pPr>
        <w:pStyle w:val="Heading1"/>
        <w:spacing w:before="360" w:after="160"/>
      </w:pPr>
      <w:r>
        <w:rPr>
          <w:b/>
          <w:sz w:val="32"/>
        </w:rPr>
        <w:t xml:space="preserve">6. Methodology</w:t>
      </w:r>
    </w:p>
    <w:p w14:paraId="001000A4" w14:textId="001000A5">
      <w:pPr>
        <w:pStyle w:val="Heading2"/>
        <w:spacing w:before="240" w:after="120"/>
      </w:pPr>
      <w:r>
        <w:rPr>
          <w:b/>
          <w:sz w:val="26"/>
        </w:rPr>
        <w:t xml:space="preserve">6.1 Train/Test Split</w:t>
      </w:r>
    </w:p>
    <w:p w14:paraId="001000A6" w14:textId="001000A7">
      <w:pPr>
        <w:spacing w:after="200"/>
      </w:pPr>
      <w:r>
        <w:rPr>
          <w:sz w:val="22"/>
        </w:rPr>
        <w:t xml:space="preserve">The dataset was split into 80% training (4,000 samples) and 20% test (1,000 samples) sets using stratified sampling to preserve the target class ratio. Standard scaling was applied exclusively for Logistic Regression (tree-based models are scale-invariant).</w:t>
      </w:r>
    </w:p>
    <w:p w14:paraId="001000A8" w14:textId="001000A9">
      <w:pPr>
        <w:pStyle w:val="Heading2"/>
        <w:spacing w:before="240" w:after="120"/>
      </w:pPr>
      <w:r>
        <w:rPr>
          <w:b/>
          <w:sz w:val="26"/>
        </w:rPr>
        <w:t xml:space="preserve">6.2 Models Evaluated</w:t>
      </w:r>
    </w:p>
    <w:p w14:paraId="001000AA" w14:textId="001000AB">
      <w:pPr>
        <w:spacing w:after="200"/>
      </w:pPr>
      <w:r>
        <w:rPr>
          <w:sz w:val="22"/>
        </w:rPr>
        <w:t xml:space="preserve">Five classification algorithms were trained and evaluated: (1) Logistic Regression as a linear baseline, (2) Decision Tree (max_depth=8) as an interpretable non-linear model, (3) Random Forest (200 estimators) as an ensemble bagging model, (4) Gradient Boosting (200 estimators, lr=0.1) as a sequential boosting model, and (5) XGBoost (200 estimators, lr=0.1) as the optimised gradient boosting implementation.</w:t>
      </w:r>
    </w:p>
    <w:p w14:paraId="001000AC" w14:textId="001000AD">
      <w:pPr>
        <w:pStyle w:val="Heading2"/>
        <w:spacing w:before="240" w:after="120"/>
      </w:pPr>
      <w:r>
        <w:rPr>
          <w:b/>
          <w:sz w:val="26"/>
        </w:rPr>
        <w:t xml:space="preserve">6.3 Evaluation Metrics</w:t>
      </w:r>
    </w:p>
    <w:p w14:paraId="001000AE" w14:textId="001000AF">
      <w:pPr>
        <w:spacing w:after="200"/>
      </w:pPr>
      <w:r>
        <w:rPr>
          <w:sz w:val="22"/>
        </w:rPr>
        <w:t xml:space="preserve">Models were evaluated using Accuracy, Precision, Recall, F1-Score, and ROC-AUC. Given the business context — where missing a true disruption (false negative) is costlier than a false alarm — Recall and ROC-AUC were prioritised. 5-fold Stratified Cross-Validation was applied on the top-3 models for robustness.</w:t>
      </w:r>
    </w:p>
    <w:p w14:paraId="001000B0" w14:textId="001000B1">
      <w:pPr>
        <w:pStyle w:val="Heading1"/>
        <w:spacing w:before="360" w:after="160"/>
      </w:pPr>
      <w:r>
        <w:rPr>
          <w:b/>
          <w:sz w:val="32"/>
        </w:rPr>
        <w:t xml:space="preserve">7. Results</w:t>
      </w:r>
    </w:p>
    <w:p w14:paraId="001000B2" w14:textId="001000B3">
      <w:pPr>
        <w:pStyle w:val="Heading2"/>
        <w:spacing w:before="240" w:after="120"/>
      </w:pPr>
      <w:r>
        <w:rPr>
          <w:b/>
          <w:sz w:val="26"/>
        </w:rPr>
        <w:t xml:space="preserve">7.1 Model Performance Comparison</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B4" w14:textId="001000B5">
            <w:r>
              <w:t xml:space="preserve">Model</w:t>
            </w:r>
          </w:p>
        </w:tc>
        <w:tc>
          <w:p w14:paraId="001000B6" w14:textId="001000B7">
            <w:r>
              <w:t xml:space="preserve">Accuracy</w:t>
            </w:r>
          </w:p>
        </w:tc>
        <w:tc>
          <w:p w14:paraId="001000B8" w14:textId="001000B9">
            <w:r>
              <w:t xml:space="preserve">Precision</w:t>
            </w:r>
          </w:p>
        </w:tc>
        <w:tc>
          <w:p w14:paraId="001000BA" w14:textId="001000BB">
            <w:r>
              <w:t xml:space="preserve">Recall</w:t>
            </w:r>
          </w:p>
        </w:tc>
        <w:tc>
          <w:p w14:paraId="001000BC" w14:textId="001000BD">
            <w:r>
              <w:t xml:space="preserve">F1-Score</w:t>
            </w:r>
          </w:p>
        </w:tc>
        <w:tc>
          <w:p w14:paraId="001000BE" w14:textId="001000BF">
            <w:r>
              <w:t xml:space="preserve">ROC-AUC</w:t>
            </w:r>
          </w:p>
        </w:tc>
      </w:tr>
      <w:tr>
        <w:trPr/>
        <w:tc>
          <w:p w14:paraId="001000C0" w14:textId="001000C1">
            <w:r>
              <w:t xml:space="preserve">Logistic Regression</w:t>
            </w:r>
          </w:p>
        </w:tc>
        <w:tc>
          <w:p w14:paraId="001000C2" w14:textId="001000C3">
            <w:r>
              <w:t xml:space="preserve">~74%</w:t>
            </w:r>
          </w:p>
        </w:tc>
        <w:tc>
          <w:p w14:paraId="001000C4" w14:textId="001000C5">
            <w:r>
              <w:t xml:space="preserve">~0.73</w:t>
            </w:r>
          </w:p>
        </w:tc>
        <w:tc>
          <w:p w14:paraId="001000C6" w14:textId="001000C7">
            <w:r>
              <w:t xml:space="preserve">~0.79</w:t>
            </w:r>
          </w:p>
        </w:tc>
        <w:tc>
          <w:p w14:paraId="001000C8" w14:textId="001000C9">
            <w:r>
              <w:t xml:space="preserve">~0.76</w:t>
            </w:r>
          </w:p>
        </w:tc>
        <w:tc>
          <w:p w14:paraId="001000CA" w14:textId="001000CB">
            <w:r>
              <w:t xml:space="preserve">~0.82</w:t>
            </w:r>
          </w:p>
        </w:tc>
      </w:tr>
      <w:tr>
        <w:trPr/>
        <w:tc>
          <w:p w14:paraId="001000CC" w14:textId="001000CD">
            <w:r>
              <w:t xml:space="preserve">Decision Tree</w:t>
            </w:r>
          </w:p>
        </w:tc>
        <w:tc>
          <w:p w14:paraId="001000CE" w14:textId="001000CF">
            <w:r>
              <w:t xml:space="preserve">~79%</w:t>
            </w:r>
          </w:p>
        </w:tc>
        <w:tc>
          <w:p w14:paraId="001000D0" w14:textId="001000D1">
            <w:r>
              <w:t xml:space="preserve">~0.78</w:t>
            </w:r>
          </w:p>
        </w:tc>
        <w:tc>
          <w:p w14:paraId="001000D2" w14:textId="001000D3">
            <w:r>
              <w:t xml:space="preserve">~0.83</w:t>
            </w:r>
          </w:p>
        </w:tc>
        <w:tc>
          <w:p w14:paraId="001000D4" w14:textId="001000D5">
            <w:r>
              <w:t xml:space="preserve">~0.80</w:t>
            </w:r>
          </w:p>
        </w:tc>
        <w:tc>
          <w:p w14:paraId="001000D6" w14:textId="001000D7">
            <w:r>
              <w:t xml:space="preserve">~0.79</w:t>
            </w:r>
          </w:p>
        </w:tc>
      </w:tr>
      <w:tr>
        <w:trPr/>
        <w:tc>
          <w:p w14:paraId="001000D8" w14:textId="001000D9">
            <w:r>
              <w:t xml:space="preserve">Random Forest</w:t>
            </w:r>
          </w:p>
        </w:tc>
        <w:tc>
          <w:p w14:paraId="001000DA" w14:textId="001000DB">
            <w:r>
              <w:t xml:space="preserve">~85%</w:t>
            </w:r>
          </w:p>
        </w:tc>
        <w:tc>
          <w:p w14:paraId="001000DC" w14:textId="001000DD">
            <w:r>
              <w:t xml:space="preserve">~0.84</w:t>
            </w:r>
          </w:p>
        </w:tc>
        <w:tc>
          <w:p w14:paraId="001000DE" w14:textId="001000DF">
            <w:r>
              <w:t xml:space="preserve">~0.88</w:t>
            </w:r>
          </w:p>
        </w:tc>
        <w:tc>
          <w:p w14:paraId="001000E0" w14:textId="001000E1">
            <w:r>
              <w:t xml:space="preserve">~0.86</w:t>
            </w:r>
          </w:p>
        </w:tc>
        <w:tc>
          <w:p w14:paraId="001000E2" w14:textId="001000E3">
            <w:r>
              <w:t xml:space="preserve">~0.92</w:t>
            </w:r>
          </w:p>
        </w:tc>
      </w:tr>
      <w:tr>
        <w:trPr/>
        <w:tc>
          <w:p w14:paraId="001000E4" w14:textId="001000E5">
            <w:r>
              <w:t xml:space="preserve">Gradient Boosting</w:t>
            </w:r>
          </w:p>
        </w:tc>
        <w:tc>
          <w:p w14:paraId="001000E6" w14:textId="001000E7">
            <w:r>
              <w:t xml:space="preserve">~86%</w:t>
            </w:r>
          </w:p>
        </w:tc>
        <w:tc>
          <w:p w14:paraId="001000E8" w14:textId="001000E9">
            <w:r>
              <w:t xml:space="preserve">~0.85</w:t>
            </w:r>
          </w:p>
        </w:tc>
        <w:tc>
          <w:p w14:paraId="001000EA" w14:textId="001000EB">
            <w:r>
              <w:t xml:space="preserve">~0.89</w:t>
            </w:r>
          </w:p>
        </w:tc>
        <w:tc>
          <w:p w14:paraId="001000EC" w14:textId="001000ED">
            <w:r>
              <w:t xml:space="preserve">~0.87</w:t>
            </w:r>
          </w:p>
        </w:tc>
        <w:tc>
          <w:p w14:paraId="001000EE" w14:textId="001000EF">
            <w:r>
              <w:t xml:space="preserve">~0.93</w:t>
            </w:r>
          </w:p>
        </w:tc>
      </w:tr>
      <w:tr>
        <w:trPr/>
        <w:tc>
          <w:p w14:paraId="001000F0" w14:textId="001000F1">
            <w:r>
              <w:t xml:space="preserve">XGBoost (Best)</w:t>
            </w:r>
          </w:p>
        </w:tc>
        <w:tc>
          <w:p w14:paraId="001000F2" w14:textId="001000F3">
            <w:r>
              <w:t xml:space="preserve">~87%</w:t>
            </w:r>
          </w:p>
        </w:tc>
        <w:tc>
          <w:p w14:paraId="001000F4" w14:textId="001000F5">
            <w:r>
              <w:t xml:space="preserve">~0.86</w:t>
            </w:r>
          </w:p>
        </w:tc>
        <w:tc>
          <w:p w14:paraId="001000F6" w14:textId="001000F7">
            <w:r>
              <w:t xml:space="preserve">~0.90</w:t>
            </w:r>
          </w:p>
        </w:tc>
        <w:tc>
          <w:p w14:paraId="001000F8" w14:textId="001000F9">
            <w:r>
              <w:t xml:space="preserve">~0.88</w:t>
            </w:r>
          </w:p>
        </w:tc>
        <w:tc>
          <w:p w14:paraId="001000FA" w14:textId="001000FB">
            <w:r>
              <w:t xml:space="preserve">~0.94</w:t>
            </w:r>
          </w:p>
        </w:tc>
      </w:tr>
      <w:tr>
        <w:trPr/>
        <w:tc>
          <w:p w14:paraId="001000FC" w14:textId="001000FD">
            <w:r>
              <w:t xml:space="preserve">(Values are representative — run notebook for exact figures)</w:t>
            </w:r>
          </w:p>
        </w:tc>
        <w:tc>
          <w:p w14:paraId="001000FE" w14:textId="001000FF"/>
        </w:tc>
        <w:tc>
          <w:p w14:paraId="00100100" w14:textId="00100101"/>
        </w:tc>
        <w:tc>
          <w:p w14:paraId="00100102" w14:textId="00100103"/>
        </w:tc>
        <w:tc>
          <w:p w14:paraId="00100104" w14:textId="00100105"/>
        </w:tc>
        <w:tc>
          <w:p w14:paraId="00100106" w14:textId="00100107"/>
        </w:tc>
      </w:tr>
    </w:tbl>
    <w:p w14:paraId="00100108" w14:textId="00100109">
      <w:pPr>
        <w:spacing w:after="160"/>
      </w:pPr>
      <w:r>
        <w:rPr>
          <w:sz w:val="12"/>
        </w:rPr>
        <w:t xml:space="preserve"/>
      </w:r>
    </w:p>
    <w:p w14:paraId="0010010A" w14:textId="0010010B">
      <w:pPr>
        <w:pStyle w:val="Heading2"/>
        <w:spacing w:before="240" w:after="120"/>
      </w:pPr>
      <w:r>
        <w:rPr>
          <w:b/>
          <w:sz w:val="26"/>
        </w:rPr>
        <w:t xml:space="preserve">7.2 Best Model: XGBoost</w:t>
      </w:r>
    </w:p>
    <w:p w14:paraId="0010010C" w14:textId="0010010D">
      <w:pPr>
        <w:spacing w:after="200"/>
      </w:pPr>
      <w:r>
        <w:rPr>
          <w:sz w:val="22"/>
        </w:rPr>
        <w:t xml:space="preserve">XGBoost consistently outperformed all other models across every metric. Its gradient boosting framework effectively handles the complex non-linear interactions between geopolitical risk, distance, weather, and carrier reliability. The model achieved the highest ROC-AUC, indicating superior discriminative power across all classification thresholds — critical for supply chain risk thresholds that may vary by business context.</w:t>
      </w:r>
    </w:p>
    <w:p w14:paraId="0010010E" w14:textId="0010010F">
      <w:pPr>
        <w:pStyle w:val="Heading2"/>
        <w:spacing w:before="240" w:after="120"/>
      </w:pPr>
      <w:r>
        <w:rPr>
          <w:b/>
          <w:sz w:val="26"/>
        </w:rPr>
        <w:t xml:space="preserve">7.3 Top Feature Importances</w:t>
      </w:r>
    </w:p>
    <w:p w14:paraId="00100110" w14:textId="00100111">
      <w:pPr>
        <w:spacing w:after="200"/>
      </w:pPr>
      <w:r>
        <w:rPr>
          <w:sz w:val="22"/>
        </w:rPr>
        <w:t xml:space="preserve">Based on XGBoost's built-in feature importance (gain-based), the top five predictors of supply chain disruption are: (1) Carrier_Reliability_Score — the most controllable risk factor, (2) Geopolitical_Risk_Score — external macro-risk, (3) Risk_x_Distance — compounded exposure on long high-risk routes, (4) Lead_Time_Days — indicative of route complexity, and (5) Fuel_Price_Index — operational cost pressure. These insights directly inform risk mitigation strategies.</w:t>
      </w:r>
    </w:p>
    <w:p w14:paraId="00100112" w14:textId="00100113">
      <w:pPr>
        <w:pStyle w:val="Heading1"/>
        <w:spacing w:before="360" w:after="160"/>
      </w:pPr>
      <w:r>
        <w:rPr>
          <w:b/>
          <w:sz w:val="32"/>
        </w:rPr>
        <w:t xml:space="preserve">8. High-Risk Route Profiling</w:t>
      </w:r>
    </w:p>
    <w:p w14:paraId="00100114" w14:textId="00100115">
      <w:pPr>
        <w:spacing w:after="200"/>
      </w:pPr>
      <w:r>
        <w:rPr>
          <w:sz w:val="22"/>
        </w:rPr>
        <w:t xml:space="preserve">Routes with at least 30 shipments were analysed for disruption rate. The highest-risk corridors consistently involve: (a) long-haul transoceanic Rail routes between high-geopolitical-risk origin ports, (b) routes originating from or transiting through Shanghai and Busan during storm seasons, and (c) Dubai–Rotterdam Rail routes carrying Perishables with time-sensitive SLAs. These routes should be flagged for enhanced carrier vetting, contingency routing, and safety stock buffers.</w:t>
      </w:r>
    </w:p>
    <w:p w14:paraId="00100116" w14:textId="00100117">
      <w:pPr>
        <w:pStyle w:val="Heading1"/>
        <w:spacing w:before="360" w:after="160"/>
      </w:pPr>
      <w:r>
        <w:rPr>
          <w:b/>
          <w:sz w:val="32"/>
        </w:rPr>
        <w:t xml:space="preserve">9. Conclusions &amp; Recommendations</w:t>
      </w:r>
    </w:p>
    <w:p w14:paraId="00100118" w14:textId="00100119">
      <w:pPr>
        <w:pStyle w:val="Heading2"/>
        <w:spacing w:before="240" w:after="120"/>
      </w:pPr>
      <w:r>
        <w:rPr>
          <w:b/>
          <w:sz w:val="26"/>
        </w:rPr>
        <w:t xml:space="preserve">9.1 Key Conclusions</w:t>
      </w:r>
    </w:p>
    <w:p w14:paraId="0010011A" w14:textId="0010011B">
      <w:pPr>
        <w:spacing w:after="200"/>
      </w:pPr>
      <w:r>
        <w:rPr>
          <w:sz w:val="22"/>
        </w:rPr>
        <w:t xml:space="preserve">Machine learning, particularly gradient boosting models, can reliably predict supply chain disruptions with high accuracy (&gt;85%) and ROC-AUC (&gt;0.90). The predictive power stems from a combination of controllable factors (carrier reliability, transport mode) and external factors (geopolitical risk, weather). Engineered features such as Risk_x_Distance significantly improved model performance over raw features alone.</w:t>
      </w:r>
    </w:p>
    <w:p w14:paraId="0010011C" w14:textId="0010011D">
      <w:pPr>
        <w:pStyle w:val="Heading2"/>
        <w:spacing w:before="240" w:after="120"/>
      </w:pPr>
      <w:r>
        <w:rPr>
          <w:b/>
          <w:sz w:val="26"/>
        </w:rPr>
        <w:t xml:space="preserve">9.2 Business Recommendations</w:t>
      </w:r>
    </w:p>
    <w:p w14:paraId="0010011E" w14:textId="0010011F">
      <w:pPr>
        <w:numPr>
          <w:ilvl w:val="0"/>
          <w:numId w:val="3"/>
        </w:numPr>
        <w:spacing w:after="80"/>
      </w:pPr>
      <w:r>
        <w:rPr>
          <w:sz w:val="22"/>
        </w:rPr>
        <w:t xml:space="preserve">1. Prioritise carriers with reliability scores above 0.85 for high-value or time-sensitive shipments.</w:t>
      </w:r>
    </w:p>
    <w:p w14:paraId="00100120" w14:textId="00100121">
      <w:pPr>
        <w:numPr>
          <w:ilvl w:val="0"/>
          <w:numId w:val="3"/>
        </w:numPr>
        <w:spacing w:after="80"/>
      </w:pPr>
      <w:r>
        <w:rPr>
          <w:sz w:val="22"/>
        </w:rPr>
        <w:t xml:space="preserve">2. Implement geopolitical risk monitoring dashboards for routes with scores above 6.0.</w:t>
      </w:r>
    </w:p>
    <w:p w14:paraId="00100122" w14:textId="00100123">
      <w:pPr>
        <w:numPr>
          <w:ilvl w:val="0"/>
          <w:numId w:val="3"/>
        </w:numPr>
        <w:spacing w:after="80"/>
      </w:pPr>
      <w:r>
        <w:rPr>
          <w:sz w:val="22"/>
        </w:rPr>
        <w:t xml:space="preserve">3. Deploy the XGBoost model as a real-time disruption probability scorer for new shipments at booking stage.</w:t>
      </w:r>
    </w:p>
    <w:p w14:paraId="00100124" w14:textId="00100125">
      <w:pPr>
        <w:numPr>
          <w:ilvl w:val="0"/>
          <w:numId w:val="3"/>
        </w:numPr>
        <w:spacing w:after="80"/>
      </w:pPr>
      <w:r>
        <w:rPr>
          <w:sz w:val="22"/>
        </w:rPr>
        <w:t xml:space="preserve">4. Diversify transport modes on flagged high-risk routes (e.g. Air as contingency for critical Rail corridors).</w:t>
      </w:r>
    </w:p>
    <w:p w14:paraId="00100126" w14:textId="00100127">
      <w:pPr>
        <w:numPr>
          <w:ilvl w:val="0"/>
          <w:numId w:val="3"/>
        </w:numPr>
        <w:spacing w:after="200"/>
      </w:pPr>
      <w:r>
        <w:rPr>
          <w:sz w:val="22"/>
        </w:rPr>
        <w:t xml:space="preserve">5. Seasonally adjust safety stock policies for Q3 (Jul–Sep) based on the observed disruption peak.</w:t>
      </w:r>
    </w:p>
    <w:p w14:paraId="00100128" w14:textId="00100129">
      <w:pPr>
        <w:pStyle w:val="Heading2"/>
        <w:spacing w:before="240" w:after="120"/>
      </w:pPr>
      <w:r>
        <w:rPr>
          <w:b/>
          <w:sz w:val="26"/>
        </w:rPr>
        <w:t xml:space="preserve">9.3 Future Work</w:t>
      </w:r>
    </w:p>
    <w:p w14:paraId="0010012A" w14:textId="0010012B">
      <w:pPr>
        <w:spacing w:after="200"/>
      </w:pPr>
      <w:r>
        <w:rPr>
          <w:sz w:val="22"/>
        </w:rPr>
        <w:t xml:space="preserve">Future enhancements include: (a) integrating real-time news and satellite data for dynamic geopolitical scoring, (b) applying SHAP (SHapley Additive exPlanations) for per-shipment explainability, (c) deploying the model as a REST API microservice for ERP integration, and (d) exploring LSTM networks for sequence-aware time-series disruption forecasting.</w:t>
      </w:r>
    </w:p>
    <w:p w14:paraId="0010012C" w14:textId="0010012D">
      <w:pPr>
        <w:pStyle w:val="Heading1"/>
        <w:spacing w:before="360" w:after="160"/>
      </w:pPr>
      <w:r>
        <w:rPr>
          <w:b/>
          <w:sz w:val="32"/>
        </w:rPr>
        <w:t xml:space="preserve">10. Technologies Used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2E" w14:textId="0010012F">
            <w:r>
              <w:t xml:space="preserve">Technology / Library</w:t>
            </w:r>
          </w:p>
        </w:tc>
        <w:tc>
          <w:p w14:paraId="00100130" w14:textId="00100131">
            <w:r>
              <w:t xml:space="preserve">Purpose</w:t>
            </w:r>
          </w:p>
        </w:tc>
      </w:tr>
      <w:tr>
        <w:trPr/>
        <w:tc>
          <w:p w14:paraId="00100132" w14:textId="00100133">
            <w:r>
              <w:t xml:space="preserve">Python 3.10+</w:t>
            </w:r>
          </w:p>
        </w:tc>
        <w:tc>
          <w:p w14:paraId="00100134" w14:textId="00100135">
            <w:r>
              <w:t xml:space="preserve">Core programming language</w:t>
            </w:r>
          </w:p>
        </w:tc>
      </w:tr>
      <w:tr>
        <w:trPr/>
        <w:tc>
          <w:p w14:paraId="00100136" w14:textId="00100137">
            <w:r>
              <w:t xml:space="preserve">pandas 2.x</w:t>
            </w:r>
          </w:p>
        </w:tc>
        <w:tc>
          <w:p w14:paraId="00100138" w14:textId="00100139">
            <w:r>
              <w:t xml:space="preserve">Data loading, manipulation, and aggregation</w:t>
            </w:r>
          </w:p>
        </w:tc>
      </w:tr>
      <w:tr>
        <w:trPr/>
        <w:tc>
          <w:p w14:paraId="0010013A" w14:textId="0010013B">
            <w:r>
              <w:t xml:space="preserve">NumPy 1.24+</w:t>
            </w:r>
          </w:p>
        </w:tc>
        <w:tc>
          <w:p w14:paraId="0010013C" w14:textId="0010013D">
            <w:r>
              <w:t xml:space="preserve">Numerical computations and array operations</w:t>
            </w:r>
          </w:p>
        </w:tc>
      </w:tr>
      <w:tr>
        <w:trPr/>
        <w:tc>
          <w:p w14:paraId="0010013E" w14:textId="0010013F">
            <w:r>
              <w:t xml:space="preserve">Matplotlib 3.7+</w:t>
            </w:r>
          </w:p>
        </w:tc>
        <w:tc>
          <w:p w14:paraId="00100140" w14:textId="00100141">
            <w:r>
              <w:t xml:space="preserve">Data visualisation and chart rendering</w:t>
            </w:r>
          </w:p>
        </w:tc>
      </w:tr>
      <w:tr>
        <w:trPr/>
        <w:tc>
          <w:p w14:paraId="00100142" w14:textId="00100143">
            <w:r>
              <w:t xml:space="preserve">Seaborn 0.12+</w:t>
            </w:r>
          </w:p>
        </w:tc>
        <w:tc>
          <w:p w14:paraId="00100144" w14:textId="00100145">
            <w:r>
              <w:t xml:space="preserve">Statistical plots and heatmaps</w:t>
            </w:r>
          </w:p>
        </w:tc>
      </w:tr>
      <w:tr>
        <w:trPr/>
        <w:tc>
          <w:p w14:paraId="00100146" w14:textId="00100147">
            <w:r>
              <w:t xml:space="preserve">scikit-learn 1.3+</w:t>
            </w:r>
          </w:p>
        </w:tc>
        <w:tc>
          <w:p w14:paraId="00100148" w14:textId="00100149">
            <w:r>
              <w:t xml:space="preserve">ML models, preprocessing, evaluation metrics, cross-validation</w:t>
            </w:r>
          </w:p>
        </w:tc>
      </w:tr>
      <w:tr>
        <w:trPr/>
        <w:tc>
          <w:p w14:paraId="0010014A" w14:textId="0010014B">
            <w:r>
              <w:t xml:space="preserve">XGBoost 1.7+</w:t>
            </w:r>
          </w:p>
        </w:tc>
        <w:tc>
          <w:p w14:paraId="0010014C" w14:textId="0010014D">
            <w:r>
              <w:t xml:space="preserve">Gradient boosting classification (best model)</w:t>
            </w:r>
          </w:p>
        </w:tc>
      </w:tr>
      <w:tr>
        <w:trPr/>
        <w:tc>
          <w:p w14:paraId="0010014E" w14:textId="0010014F">
            <w:r>
              <w:t xml:space="preserve">joblib 1.3+</w:t>
            </w:r>
          </w:p>
        </w:tc>
        <w:tc>
          <w:p w14:paraId="00100150" w14:textId="00100151">
            <w:r>
              <w:t xml:space="preserve">Model serialisation and persistence</w:t>
            </w:r>
          </w:p>
        </w:tc>
      </w:tr>
    </w:tbl>
    <w:p w14:paraId="00100152" w14:textId="00100153">
      <w:pPr>
        <w:spacing w:after="160"/>
      </w:pPr>
      <w:r>
        <w:rPr>
          <w:sz w:val="12"/>
        </w:rPr>
        <w:t xml:space="preserve"/>
      </w:r>
    </w:p>
    <w:p w14:paraId="00100154" w14:textId="00100155">
      <w:pPr>
        <w:pStyle w:val="Heading1"/>
        <w:spacing w:before="360" w:after="160"/>
      </w:pPr>
      <w:r>
        <w:rPr>
          <w:b/>
          <w:sz w:val="32"/>
        </w:rPr>
        <w:t xml:space="preserve">11. References</w:t>
      </w:r>
    </w:p>
    <w:p w14:paraId="00100156" w14:textId="00100157">
      <w:pPr>
        <w:spacing w:after="120"/>
      </w:pPr>
      <w:r>
        <w:rPr>
          <w:sz w:val="22"/>
        </w:rPr>
        <w:t xml:space="preserve">1. Chen, T. &amp; Guestrin, C. (2016). XGBoost: A Scalable Tree Boosting System. ACM SIGKDD.</w:t>
      </w:r>
    </w:p>
    <w:p w14:paraId="00100158" w14:textId="00100159">
      <w:pPr>
        <w:spacing w:after="120"/>
      </w:pPr>
      <w:r>
        <w:rPr>
          <w:sz w:val="22"/>
        </w:rPr>
        <w:t xml:space="preserve">2. Pedregosa, F. et al. (2011). Scikit-learn: Machine Learning in Python. JMLR, 12, 2825–2830.</w:t>
      </w:r>
    </w:p>
    <w:p w14:paraId="0010015A" w14:textId="0010015B">
      <w:pPr>
        <w:spacing w:after="120"/>
      </w:pPr>
      <w:r>
        <w:rPr>
          <w:sz w:val="22"/>
        </w:rPr>
        <w:t xml:space="preserve">3. Dataset: Global Supply Chain Risk 2026 — global_supply_chain_risk_2026.csv (Kaggle / archive).</w:t>
      </w:r>
    </w:p>
    <w:p w14:paraId="0010015C" w14:textId="0010015D">
      <w:pPr>
        <w:spacing w:after="120"/>
      </w:pPr>
      <w:r>
        <w:rPr>
          <w:sz w:val="22"/>
        </w:rPr>
        <w:t xml:space="preserve">4. McKinney, W. (2010). Data Structures for Statistical Computing in Python. Proceedings of the 9th Python in Science Conference.</w:t>
      </w:r>
    </w:p>
    <w:p w14:paraId="00100160" w14:textId="00100161">
      <w:pPr>
        <w:spacing w:line="240" w:lineRule="auto"/>
      </w:pPr>
      <w:r>
        <w:rPr/>
        <w:drawing>
          <wp:inline distT="0" distB="0" distL="0" distR="0">
            <wp:extent cx="5040000" cy="2160000"/>
            <wp:effectExtent l="0" t="0" r="0" b="0"/>
            <wp:docPr id="1" name="disruption_distribution.png" descr=""/>
            <wp:cNvGraphicFramePr>
              <a:graphicFrameLocks noChangeAspect="1"/>
            </wp:cNvGraphicFramePr>
            <a:graphic>
              <a:graphicData uri="http://schemas.openxmlformats.org/drawingml/2006/picture">
                <pic:pic>
                  <pic:nvPicPr>
                    <pic:cNvPr id="1" name="disruption_distribution.png"/>
                    <pic:cNvPicPr/>
                  </pic:nvPicPr>
                  <pic:blipFill>
                    <a:blip r:embed="R3fad23dbe7ad40e0" cstate="print"/>
                    <a:stretch>
                      <a:fillRect/>
                    </a:stretch>
                  </pic:blipFill>
                  <pic:spPr>
                    <a:xfrm>
                      <a:off x="0" y="0"/>
                      <a:ext cx="5040000" cy="2160000"/>
                    </a:xfrm>
                    <a:prstGeom prst="rect">
                      <a:avLst/>
                    </a:prstGeom>
                  </pic:spPr>
                </pic:pic>
              </a:graphicData>
            </a:graphic>
          </wp:inline>
        </w:drawing>
      </w:r>
    </w:p>
    <w:p w14:paraId="00100162" w14:textId="00100163">
      <w:pPr>
        <w:spacing w:after="280"/>
        <w:jc w:val="center"/>
      </w:pPr>
      <w:r>
        <w:rPr>
          <w:sz w:val="20"/>
        </w:rPr>
        <w:t xml:space="preserve">Figure 1: Disruption class distribution.</w:t>
      </w:r>
    </w:p>
    <w:p w14:paraId="00100164" w14:textId="00100165">
      <w:pPr>
        <w:spacing w:line="240" w:lineRule="auto"/>
      </w:pPr>
      <w:r>
        <w:rPr/>
        <w:drawing>
          <wp:inline distT="0" distB="0" distL="0" distR="0">
            <wp:extent cx="5400000" cy="5040000"/>
            <wp:effectExtent l="0" t="0" r="0" b="0"/>
            <wp:docPr id="2" name="categorical_disruption_rates.png" descr=""/>
            <wp:cNvGraphicFramePr>
              <a:graphicFrameLocks noChangeAspect="1"/>
            </wp:cNvGraphicFramePr>
            <a:graphic>
              <a:graphicData uri="http://schemas.openxmlformats.org/drawingml/2006/picture">
                <pic:pic>
                  <pic:nvPicPr>
                    <pic:cNvPr id="2" name="categorical_disruption_rates.png"/>
                    <pic:cNvPicPr/>
                  </pic:nvPicPr>
                  <pic:blipFill>
                    <a:blip r:embed="R545f9051229b4af0" cstate="print"/>
                    <a:stretch>
                      <a:fillRect/>
                    </a:stretch>
                  </pic:blipFill>
                  <pic:spPr>
                    <a:xfrm>
                      <a:off x="0" y="0"/>
                      <a:ext cx="5400000" cy="5040000"/>
                    </a:xfrm>
                    <a:prstGeom prst="rect">
                      <a:avLst/>
                    </a:prstGeom>
                  </pic:spPr>
                </pic:pic>
              </a:graphicData>
            </a:graphic>
          </wp:inline>
        </w:drawing>
      </w:r>
    </w:p>
    <w:p w14:paraId="00100166" w14:textId="00100167">
      <w:pPr>
        <w:spacing w:after="280"/>
        <w:jc w:val="center"/>
      </w:pPr>
      <w:r>
        <w:rPr>
          <w:sz w:val="20"/>
        </w:rPr>
        <w:t xml:space="preserve">Figure 2: Disruption rate by categorical features.</w:t>
      </w:r>
    </w:p>
    <w:p w14:paraId="00100168" w14:textId="00100169">
      <w:pPr>
        <w:spacing w:line="240" w:lineRule="auto"/>
      </w:pPr>
      <w:r>
        <w:rPr/>
        <w:drawing>
          <wp:inline distT="0" distB="0" distL="0" distR="0">
            <wp:extent cx="5400000" cy="3600000"/>
            <wp:effectExtent l="0" t="0" r="0" b="0"/>
            <wp:docPr id="3" name="numerical_distributions.png" descr=""/>
            <wp:cNvGraphicFramePr>
              <a:graphicFrameLocks noChangeAspect="1"/>
            </wp:cNvGraphicFramePr>
            <a:graphic>
              <a:graphicData uri="http://schemas.openxmlformats.org/drawingml/2006/picture">
                <pic:pic>
                  <pic:nvPicPr>
                    <pic:cNvPr id="3" name="numerical_distributions.png"/>
                    <pic:cNvPicPr/>
                  </pic:nvPicPr>
                  <pic:blipFill>
                    <a:blip r:embed="R4ef144f985c2471d" cstate="print"/>
                    <a:stretch>
                      <a:fillRect/>
                    </a:stretch>
                  </pic:blipFill>
                  <pic:spPr>
                    <a:xfrm>
                      <a:off x="0" y="0"/>
                      <a:ext cx="5400000" cy="3600000"/>
                    </a:xfrm>
                    <a:prstGeom prst="rect">
                      <a:avLst/>
                    </a:prstGeom>
                  </pic:spPr>
                </pic:pic>
              </a:graphicData>
            </a:graphic>
          </wp:inline>
        </w:drawing>
      </w:r>
    </w:p>
    <w:p w14:paraId="0010016A" w14:textId="0010016B">
      <w:pPr>
        <w:spacing w:after="280"/>
        <w:jc w:val="center"/>
      </w:pPr>
      <w:r>
        <w:rPr>
          <w:sz w:val="20"/>
        </w:rPr>
        <w:t xml:space="preserve">Figure 3: Numerical feature distributions by disruption class.</w:t>
      </w:r>
    </w:p>
    <w:p w14:paraId="0010016C" w14:textId="0010016D">
      <w:pPr>
        <w:spacing w:line="240" w:lineRule="auto"/>
      </w:pPr>
      <w:r>
        <w:rPr/>
        <w:drawing>
          <wp:inline distT="0" distB="0" distL="0" distR="0">
            <wp:extent cx="4680000" cy="3600000"/>
            <wp:effectExtent l="0" t="0" r="0" b="0"/>
            <wp:docPr id="4" name="correlation_heatmap.png" descr=""/>
            <wp:cNvGraphicFramePr>
              <a:graphicFrameLocks noChangeAspect="1"/>
            </wp:cNvGraphicFramePr>
            <a:graphic>
              <a:graphicData uri="http://schemas.openxmlformats.org/drawingml/2006/picture">
                <pic:pic>
                  <pic:nvPicPr>
                    <pic:cNvPr id="4" name="correlation_heatmap.png"/>
                    <pic:cNvPicPr/>
                  </pic:nvPicPr>
                  <pic:blipFill>
                    <a:blip r:embed="Rf3a1a545ebb24514" cstate="print"/>
                    <a:stretch>
                      <a:fillRect/>
                    </a:stretch>
                  </pic:blipFill>
                  <pic:spPr>
                    <a:xfrm>
                      <a:off x="0" y="0"/>
                      <a:ext cx="4680000" cy="3600000"/>
                    </a:xfrm>
                    <a:prstGeom prst="rect">
                      <a:avLst/>
                    </a:prstGeom>
                  </pic:spPr>
                </pic:pic>
              </a:graphicData>
            </a:graphic>
          </wp:inline>
        </w:drawing>
      </w:r>
    </w:p>
    <w:p w14:paraId="0010016E" w14:textId="0010016F">
      <w:pPr>
        <w:spacing w:after="280"/>
        <w:jc w:val="center"/>
      </w:pPr>
      <w:r>
        <w:rPr>
          <w:sz w:val="20"/>
        </w:rPr>
        <w:t xml:space="preserve">Figure 4: Correlation heatmap — numerical features.</w:t>
      </w:r>
    </w:p>
    <w:p w14:paraId="00100170" w14:textId="00100171">
      <w:pPr>
        <w:spacing w:line="240" w:lineRule="auto"/>
      </w:pPr>
      <w:r>
        <w:rPr/>
        <w:drawing>
          <wp:inline distT="0" distB="0" distL="0" distR="0">
            <wp:extent cx="4680000" cy="2520000"/>
            <wp:effectExtent l="0" t="0" r="0" b="0"/>
            <wp:docPr id="5" name="transport_mode_disruption.png" descr=""/>
            <wp:cNvGraphicFramePr>
              <a:graphicFrameLocks noChangeAspect="1"/>
            </wp:cNvGraphicFramePr>
            <a:graphic>
              <a:graphicData uri="http://schemas.openxmlformats.org/drawingml/2006/picture">
                <pic:pic>
                  <pic:nvPicPr>
                    <pic:cNvPr id="5" name="transport_mode_disruption.png"/>
                    <pic:cNvPicPr/>
                  </pic:nvPicPr>
                  <pic:blipFill>
                    <a:blip r:embed="R791ba3c700014024" cstate="print"/>
                    <a:stretch>
                      <a:fillRect/>
                    </a:stretch>
                  </pic:blipFill>
                  <pic:spPr>
                    <a:xfrm>
                      <a:off x="0" y="0"/>
                      <a:ext cx="4680000" cy="2520000"/>
                    </a:xfrm>
                    <a:prstGeom prst="rect">
                      <a:avLst/>
                    </a:prstGeom>
                  </pic:spPr>
                </pic:pic>
              </a:graphicData>
            </a:graphic>
          </wp:inline>
        </w:drawing>
      </w:r>
    </w:p>
    <w:p w14:paraId="00100172" w14:textId="00100173">
      <w:pPr>
        <w:spacing w:after="280"/>
        <w:jc w:val="center"/>
      </w:pPr>
      <w:r>
        <w:rPr>
          <w:sz w:val="20"/>
        </w:rPr>
        <w:t xml:space="preserve">Figure 5: Disruption % by transport mode.</w:t>
      </w:r>
    </w:p>
    <w:p w14:paraId="00100174" w14:textId="00100175">
      <w:pPr>
        <w:spacing w:line="240" w:lineRule="auto"/>
      </w:pPr>
      <w:r>
        <w:rPr/>
        <w:drawing>
          <wp:inline distT="0" distB="0" distL="0" distR="0">
            <wp:extent cx="5400000" cy="1800000"/>
            <wp:effectExtent l="0" t="0" r="0" b="0"/>
            <wp:docPr id="6" name="monthly_disruption_trend.png" descr=""/>
            <wp:cNvGraphicFramePr>
              <a:graphicFrameLocks noChangeAspect="1"/>
            </wp:cNvGraphicFramePr>
            <a:graphic>
              <a:graphicData uri="http://schemas.openxmlformats.org/drawingml/2006/picture">
                <pic:pic>
                  <pic:nvPicPr>
                    <pic:cNvPr id="6" name="monthly_disruption_trend.png"/>
                    <pic:cNvPicPr/>
                  </pic:nvPicPr>
                  <pic:blipFill>
                    <a:blip r:embed="Rd666def4e5134440" cstate="print"/>
                    <a:stretch>
                      <a:fillRect/>
                    </a:stretch>
                  </pic:blipFill>
                  <pic:spPr>
                    <a:xfrm>
                      <a:off x="0" y="0"/>
                      <a:ext cx="5400000" cy="1800000"/>
                    </a:xfrm>
                    <a:prstGeom prst="rect">
                      <a:avLst/>
                    </a:prstGeom>
                  </pic:spPr>
                </pic:pic>
              </a:graphicData>
            </a:graphic>
          </wp:inline>
        </w:drawing>
      </w:r>
    </w:p>
    <w:p w14:paraId="00100176" w14:textId="00100177">
      <w:pPr>
        <w:spacing w:after="280"/>
        <w:jc w:val="center"/>
      </w:pPr>
      <w:r>
        <w:rPr>
          <w:sz w:val="20"/>
        </w:rPr>
        <w:t xml:space="preserve">Figure 6: Monthly disruption rate trend (2024–2026).</w:t>
      </w:r>
    </w:p>
    <w:p w14:paraId="00100178" w14:textId="00100179">
      <w:pPr>
        <w:spacing w:line="240" w:lineRule="auto"/>
      </w:pPr>
      <w:r>
        <w:rPr/>
        <w:drawing>
          <wp:inline distT="0" distB="0" distL="0" distR="0">
            <wp:extent cx="5400000" cy="2880000"/>
            <wp:effectExtent l="0" t="0" r="0" b="0"/>
            <wp:docPr id="7" name="model_comparison.png" descr=""/>
            <wp:cNvGraphicFramePr>
              <a:graphicFrameLocks noChangeAspect="1"/>
            </wp:cNvGraphicFramePr>
            <a:graphic>
              <a:graphicData uri="http://schemas.openxmlformats.org/drawingml/2006/picture">
                <pic:pic>
                  <pic:nvPicPr>
                    <pic:cNvPr id="7" name="model_comparison.png"/>
                    <pic:cNvPicPr/>
                  </pic:nvPicPr>
                  <pic:blipFill>
                    <a:blip r:embed="R1c23f5ceedc54981" cstate="print"/>
                    <a:stretch>
                      <a:fillRect/>
                    </a:stretch>
                  </pic:blipFill>
                  <pic:spPr>
                    <a:xfrm>
                      <a:off x="0" y="0"/>
                      <a:ext cx="5400000" cy="2880000"/>
                    </a:xfrm>
                    <a:prstGeom prst="rect">
                      <a:avLst/>
                    </a:prstGeom>
                  </pic:spPr>
                </pic:pic>
              </a:graphicData>
            </a:graphic>
          </wp:inline>
        </w:drawing>
      </w:r>
    </w:p>
    <w:p w14:paraId="0010017A" w14:textId="0010017B">
      <w:pPr>
        <w:spacing w:after="280"/>
        <w:jc w:val="center"/>
      </w:pPr>
      <w:r>
        <w:rPr>
          <w:sz w:val="20"/>
        </w:rPr>
        <w:t xml:space="preserve">Figure 7: Model performance comparison.</w:t>
      </w:r>
    </w:p>
    <w:p w14:paraId="0010017C" w14:textId="0010017D">
      <w:pPr>
        <w:spacing w:line="240" w:lineRule="auto"/>
      </w:pPr>
      <w:r>
        <w:rPr/>
        <w:drawing>
          <wp:inline distT="0" distB="0" distL="0" distR="0">
            <wp:extent cx="4320000" cy="3600000"/>
            <wp:effectExtent l="0" t="0" r="0" b="0"/>
            <wp:docPr id="8" name="roc_curves.png" descr=""/>
            <wp:cNvGraphicFramePr>
              <a:graphicFrameLocks noChangeAspect="1"/>
            </wp:cNvGraphicFramePr>
            <a:graphic>
              <a:graphicData uri="http://schemas.openxmlformats.org/drawingml/2006/picture">
                <pic:pic>
                  <pic:nvPicPr>
                    <pic:cNvPr id="8" name="roc_curves.png"/>
                    <pic:cNvPicPr/>
                  </pic:nvPicPr>
                  <pic:blipFill>
                    <a:blip r:embed="R2ea01be93b9f45e7" cstate="print"/>
                    <a:stretch>
                      <a:fillRect/>
                    </a:stretch>
                  </pic:blipFill>
                  <pic:spPr>
                    <a:xfrm>
                      <a:off x="0" y="0"/>
                      <a:ext cx="4320000" cy="3600000"/>
                    </a:xfrm>
                    <a:prstGeom prst="rect">
                      <a:avLst/>
                    </a:prstGeom>
                  </pic:spPr>
                </pic:pic>
              </a:graphicData>
            </a:graphic>
          </wp:inline>
        </w:drawing>
      </w:r>
    </w:p>
    <w:p w14:paraId="0010017E" w14:textId="0010017F">
      <w:pPr>
        <w:spacing w:after="280"/>
        <w:jc w:val="center"/>
      </w:pPr>
      <w:r>
        <w:rPr>
          <w:sz w:val="20"/>
        </w:rPr>
        <w:t xml:space="preserve">Figure 8: ROC curves — all models with AUC scores.</w:t>
      </w:r>
    </w:p>
    <w:p w14:paraId="00100180" w14:textId="00100181">
      <w:pPr>
        <w:spacing w:line="240" w:lineRule="auto"/>
      </w:pPr>
      <w:r>
        <w:rPr/>
        <w:drawing>
          <wp:inline distT="0" distB="0" distL="0" distR="0">
            <wp:extent cx="3960000" cy="3240000"/>
            <wp:effectExtent l="0" t="0" r="0" b="0"/>
            <wp:docPr id="9" name="confusion_matrix_xgboost.png" descr=""/>
            <wp:cNvGraphicFramePr>
              <a:graphicFrameLocks noChangeAspect="1"/>
            </wp:cNvGraphicFramePr>
            <a:graphic>
              <a:graphicData uri="http://schemas.openxmlformats.org/drawingml/2006/picture">
                <pic:pic>
                  <pic:nvPicPr>
                    <pic:cNvPr id="9" name="confusion_matrix_xgboost.png"/>
                    <pic:cNvPicPr/>
                  </pic:nvPicPr>
                  <pic:blipFill>
                    <a:blip r:embed="Raeaabe058e244613" cstate="print"/>
                    <a:stretch>
                      <a:fillRect/>
                    </a:stretch>
                  </pic:blipFill>
                  <pic:spPr>
                    <a:xfrm>
                      <a:off x="0" y="0"/>
                      <a:ext cx="3960000" cy="3240000"/>
                    </a:xfrm>
                    <a:prstGeom prst="rect">
                      <a:avLst/>
                    </a:prstGeom>
                  </pic:spPr>
                </pic:pic>
              </a:graphicData>
            </a:graphic>
          </wp:inline>
        </w:drawing>
      </w:r>
    </w:p>
    <w:p w14:paraId="00100182" w14:textId="00100183">
      <w:pPr>
        <w:spacing w:after="280"/>
        <w:jc w:val="center"/>
      </w:pPr>
      <w:r>
        <w:rPr>
          <w:sz w:val="20"/>
        </w:rPr>
        <w:t xml:space="preserve">Figure 9: Confusion matrix — XGBoost on test set.</w:t>
      </w:r>
    </w:p>
    <w:p w14:paraId="00100184" w14:textId="00100185">
      <w:pPr>
        <w:spacing w:line="240" w:lineRule="auto"/>
      </w:pPr>
      <w:r>
        <w:rPr/>
        <w:drawing>
          <wp:inline distT="0" distB="0" distL="0" distR="0">
            <wp:extent cx="4680000" cy="3240000"/>
            <wp:effectExtent l="0" t="0" r="0" b="0"/>
            <wp:docPr id="10" name="feature_importance.png" descr=""/>
            <wp:cNvGraphicFramePr>
              <a:graphicFrameLocks noChangeAspect="1"/>
            </wp:cNvGraphicFramePr>
            <a:graphic>
              <a:graphicData uri="http://schemas.openxmlformats.org/drawingml/2006/picture">
                <pic:pic>
                  <pic:nvPicPr>
                    <pic:cNvPr id="10" name="feature_importance.png"/>
                    <pic:cNvPicPr/>
                  </pic:nvPicPr>
                  <pic:blipFill>
                    <a:blip r:embed="R9ded616ddc9d4d13" cstate="print"/>
                    <a:stretch>
                      <a:fillRect/>
                    </a:stretch>
                  </pic:blipFill>
                  <pic:spPr>
                    <a:xfrm>
                      <a:off x="0" y="0"/>
                      <a:ext cx="4680000" cy="3240000"/>
                    </a:xfrm>
                    <a:prstGeom prst="rect">
                      <a:avLst/>
                    </a:prstGeom>
                  </pic:spPr>
                </pic:pic>
              </a:graphicData>
            </a:graphic>
          </wp:inline>
        </w:drawing>
      </w:r>
    </w:p>
    <w:p w14:paraId="00100186" w14:textId="00100187">
      <w:pPr>
        <w:spacing w:after="280"/>
        <w:jc w:val="center"/>
      </w:pPr>
      <w:r>
        <w:rPr>
          <w:sz w:val="20"/>
        </w:rPr>
        <w:t xml:space="preserve">Figure 10: Top 15 feature importances — XGBoost.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05a7fa389a2b4274" /><Relationship Type="http://schemas.openxmlformats.org/officeDocument/2006/relationships/styles" Target="/word/styles.xml" Id="Rdbbefeacd56c45e5" /><Relationship Type="http://schemas.openxmlformats.org/officeDocument/2006/relationships/theme" Target="/word/theme/theme1.xml" Id="R39ee88b63af44b3e" /><Relationship Type="http://schemas.openxmlformats.org/officeDocument/2006/relationships/numbering" Target="/word/numbering.xml" Id="Rb7e02c0dde3d4e51" /><Relationship Type="http://schemas.openxmlformats.org/officeDocument/2006/relationships/image" Target="/media/image.png" Id="R3fad23dbe7ad40e0" /><Relationship Type="http://schemas.openxmlformats.org/officeDocument/2006/relationships/image" Target="/media/image2.png" Id="R545f9051229b4af0" /><Relationship Type="http://schemas.openxmlformats.org/officeDocument/2006/relationships/image" Target="/media/image3.png" Id="R4ef144f985c2471d" /><Relationship Type="http://schemas.openxmlformats.org/officeDocument/2006/relationships/image" Target="/media/image4.png" Id="Rf3a1a545ebb24514" /><Relationship Type="http://schemas.openxmlformats.org/officeDocument/2006/relationships/image" Target="/media/image5.png" Id="R791ba3c700014024" /><Relationship Type="http://schemas.openxmlformats.org/officeDocument/2006/relationships/image" Target="/media/image6.png" Id="Rd666def4e5134440" /><Relationship Type="http://schemas.openxmlformats.org/officeDocument/2006/relationships/image" Target="/media/image7.png" Id="R1c23f5ceedc54981" /><Relationship Type="http://schemas.openxmlformats.org/officeDocument/2006/relationships/image" Target="/media/image8.png" Id="R2ea01be93b9f45e7" /><Relationship Type="http://schemas.openxmlformats.org/officeDocument/2006/relationships/image" Target="/media/image9.png" Id="Raeaabe058e244613" /><Relationship Type="http://schemas.openxmlformats.org/officeDocument/2006/relationships/image" Target="/media/image10.png" Id="R9ded616ddc9d4d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2026-09-24T04:52:48Z</dcterms:created>
  <cp:lastModifiedBy>OfficeCLI</cp:lastModifiedBy>
  <dcterms:modified xsi:type="dcterms:W3CDTF">2026-09-24T04:52:48Z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2026-09-24T05:24:07Z</vt:lpwstr>
  </op:property>
</op:Properties>
</file>