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20" w:rsidRPr="007D770C" w:rsidRDefault="00DB6E20" w:rsidP="00DB6E20">
      <w:pPr>
        <w:spacing w:before="240" w:line="360" w:lineRule="auto"/>
        <w:ind w:firstLine="709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AE16AA"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  <w:t>Лекція 18. Нерегулярні і нелінійні оптичні ефекти в св</w:t>
      </w:r>
      <w:r w:rsidR="007D770C" w:rsidRPr="00AE16AA"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  <w:t>і</w:t>
      </w:r>
      <w:r w:rsidRPr="00AE16AA"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  <w:t>т</w:t>
      </w:r>
      <w:r w:rsidR="007D770C" w:rsidRPr="00AE16AA"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  <w:t>л</w:t>
      </w:r>
      <w:r w:rsidRPr="00AE16AA">
        <w:rPr>
          <w:rFonts w:ascii="Times New Roman" w:hAnsi="Times New Roman" w:cs="Times New Roman"/>
          <w:b/>
          <w:color w:val="00B050"/>
          <w:sz w:val="36"/>
          <w:szCs w:val="28"/>
          <w:lang w:val="uk-UA"/>
        </w:rPr>
        <w:t>оводах</w:t>
      </w:r>
    </w:p>
    <w:p w:rsidR="00DB6E20" w:rsidRPr="007D770C" w:rsidRDefault="00DB6E20" w:rsidP="00DB6E20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         У св</w:t>
      </w:r>
      <w:r w:rsidR="007D770C" w:rsidRPr="007D77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7D770C" w:rsidRPr="007D770C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оводах </w:t>
      </w:r>
      <w:r w:rsidR="007D770C" w:rsidRPr="007D770C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2 основних типи нер</w:t>
      </w:r>
      <w:bookmarkStart w:id="0" w:name="_GoBack"/>
      <w:bookmarkEnd w:id="0"/>
      <w:r w:rsidRPr="007D770C">
        <w:rPr>
          <w:rFonts w:ascii="Times New Roman" w:hAnsi="Times New Roman" w:cs="Times New Roman"/>
          <w:sz w:val="28"/>
          <w:szCs w:val="28"/>
          <w:lang w:val="uk-UA"/>
        </w:rPr>
        <w:t>егулярності:</w:t>
      </w:r>
    </w:p>
    <w:p w:rsidR="00DB6E20" w:rsidRPr="007D770C" w:rsidRDefault="007D770C" w:rsidP="007D770C">
      <w:pPr>
        <w:pStyle w:val="a5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игин;</w:t>
      </w:r>
    </w:p>
    <w:p w:rsidR="00DB6E20" w:rsidRPr="007D770C" w:rsidRDefault="007D770C" w:rsidP="007D770C">
      <w:pPr>
        <w:pStyle w:val="a5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кручування.</w:t>
      </w:r>
    </w:p>
    <w:p w:rsidR="00DB6E20" w:rsidRPr="007D770C" w:rsidRDefault="00DB6E20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При намотуванні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волоконно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>-оптичного кабелю на трасі світлопроводи в кабелі можуть скруч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уватися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(ефект скручування світловода)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DB6E20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При цьому різні скрутки r пов'язаний з радіусом вигину R наступним чином:</w:t>
      </w:r>
    </w:p>
    <w:p w:rsidR="00DB6E20" w:rsidRPr="007D770C" w:rsidRDefault="00DB6E20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R= r</w:t>
      </w:r>
      <w:r w:rsid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 xml:space="preserve"> 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+</w:t>
      </w:r>
      <w:r w:rsid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 xml:space="preserve"> 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h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:lang w:val="uk-UA"/>
        </w:rPr>
        <w:t>2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/4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  <w:lang w:val="uk-UA"/>
              </w:rPr>
              <m:t>π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36"/>
            <w:szCs w:val="36"/>
            <w:lang w:val="uk-UA"/>
          </w:rPr>
          <m:t>r</m:t>
        </m:r>
      </m:oMath>
      <w:r w:rsidRPr="007D770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h-крок </w:t>
      </w:r>
      <w:r w:rsidR="007D770C" w:rsidRPr="007D770C">
        <w:rPr>
          <w:rFonts w:ascii="Times New Roman" w:hAnsi="Times New Roman" w:cs="Times New Roman"/>
          <w:sz w:val="28"/>
          <w:szCs w:val="28"/>
          <w:lang w:val="uk-UA"/>
        </w:rPr>
        <w:t>скручування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B6E20" w:rsidRPr="007D770C" w:rsidRDefault="00DB6E20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Скручування світловода призводить:</w:t>
      </w:r>
    </w:p>
    <w:p w:rsidR="00DB6E20" w:rsidRPr="007D770C" w:rsidRDefault="007D770C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) погіршенням оптичних властивостей світловоду, перехідному впливу на дуги світловода, додаткових втрат, збільшення загасання.</w:t>
      </w:r>
    </w:p>
    <w:p w:rsidR="00DB6E20" w:rsidRPr="007D770C" w:rsidRDefault="007D770C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) погіршення механічних властивостей світловоду, зниження міцності, появи </w:t>
      </w:r>
      <w:proofErr w:type="spellStart"/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мікротріщин</w:t>
      </w:r>
      <w:proofErr w:type="spellEnd"/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, старіння волокна.</w:t>
      </w:r>
    </w:p>
    <w:p w:rsidR="00DB6E20" w:rsidRPr="007D770C" w:rsidRDefault="00DB6E20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Чим менше R, тим значніше проявляються ці недоліки.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При вигині і скрутці світловода порушується закономірності відображенні промен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на кордоні серцевина 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оболонка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світловода, тому частина енергії випромінює в навколишній простір і переходить на волокна.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Вплив скру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 xml:space="preserve">чування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на оптичні характеристики світловода можна оцінити величин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п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доп</m:t>
            </m:r>
          </m:sup>
        </m:sSubSup>
      </m:oMath>
      <w:r w:rsidRPr="007D770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B6E20" w:rsidRPr="007D770C" w:rsidRDefault="00AE16AA" w:rsidP="00DB6E20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uk-UA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uk-UA"/>
              </w:rPr>
              <m:t>п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  <w:lang w:val="uk-UA"/>
              </w:rPr>
              <m:t>доп</m:t>
            </m:r>
          </m:sup>
        </m:sSubSup>
        <m:r>
          <w:rPr>
            <w:rFonts w:ascii="Cambria Math" w:hAnsi="Cambria Math" w:cs="Times New Roman"/>
            <w:color w:val="000000" w:themeColor="text1"/>
            <w:sz w:val="32"/>
            <w:szCs w:val="32"/>
            <w:lang w:val="uk-UA"/>
          </w:rPr>
          <m:t>=-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2"/>
                    <w:szCs w:val="32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2"/>
                    <w:szCs w:val="32"/>
                    <w:lang w:val="uk-U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  <w:lang w:val="uk-UA"/>
                  </w:rPr>
                  <m:t>10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32"/>
                    <w:szCs w:val="32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  <w:lang w:val="uk-UA"/>
                  </w:rPr>
                  <m:t>1-а/R∆</m:t>
                </m:r>
              </m:e>
            </m:d>
          </m:e>
        </m:func>
      </m:oMath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, [</w:t>
      </w:r>
      <w:proofErr w:type="spellStart"/>
      <w:r w:rsidR="007D770C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], де а-радіус серцевини.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Критичний радіус вигину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Rкр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менше котрого не можна згинати волокно, визначається з умови:</w:t>
      </w:r>
    </w:p>
    <w:p w:rsidR="00DB6E20" w:rsidRPr="007D770C" w:rsidRDefault="00AE16AA" w:rsidP="007D770C">
      <w:pPr>
        <w:spacing w:before="24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  <w:lang w:val="uk-UA"/>
              </w:rPr>
              <m:t>1-а/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uk-UA"/>
                  </w:rPr>
                  <m:t>∆</m:t>
                </m:r>
              </m:sub>
            </m:sSub>
          </m:e>
        </m:d>
      </m:oMath>
      <w:r w:rsidR="00DB6E20" w:rsidRPr="007D770C"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uk-UA"/>
        </w:rPr>
        <w:t>=0;</w:t>
      </w:r>
    </w:p>
    <w:p w:rsidR="00DB6E20" w:rsidRPr="007D770C" w:rsidRDefault="00DB6E20" w:rsidP="007D770C">
      <w:pPr>
        <w:spacing w:before="24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</w:pPr>
      <w:proofErr w:type="spellStart"/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R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vertAlign w:val="subscript"/>
          <w:lang w:val="uk-UA"/>
        </w:rPr>
        <w:t>кр</w:t>
      </w:r>
      <w:proofErr w:type="spellEnd"/>
      <w:r w:rsidRPr="007D770C">
        <w:rPr>
          <w:rFonts w:ascii="Times New Roman" w:hAnsi="Times New Roman" w:cs="Times New Roman"/>
          <w:color w:val="000000" w:themeColor="text1"/>
          <w:sz w:val="36"/>
          <w:szCs w:val="36"/>
          <w:vertAlign w:val="subscript"/>
          <w:lang w:val="uk-UA"/>
        </w:rPr>
        <w:t xml:space="preserve"> 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= а/</w:t>
      </w:r>
      <m:oMath>
        <m:r>
          <w:rPr>
            <w:rFonts w:ascii="Cambria Math" w:hAnsi="Cambria Math" w:cs="Times New Roman"/>
            <w:color w:val="000000" w:themeColor="text1"/>
            <w:sz w:val="36"/>
            <w:szCs w:val="36"/>
            <w:lang w:val="uk-UA"/>
          </w:rPr>
          <m:t>∆</m:t>
        </m:r>
      </m:oMath>
      <w:r w:rsidRPr="007D770C"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uk-UA"/>
        </w:rPr>
        <w:t>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b/>
          <w:sz w:val="28"/>
          <w:szCs w:val="28"/>
          <w:lang w:val="uk-UA"/>
        </w:rPr>
        <w:t>Приклад.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Якщо а = 25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, Δ = 0,01, тоді </w:t>
      </w:r>
      <w:proofErr w:type="spellStart"/>
      <w:r w:rsidRPr="007D77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</w:t>
      </w:r>
      <w:r w:rsidRPr="007D770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uk-UA"/>
        </w:rPr>
        <w:t>кр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= 2,5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>. Значить R повинна б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ути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2,5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мкм.l</w:t>
      </w:r>
      <w:proofErr w:type="spellEnd"/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Якщо візьмемо R = 15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, то для цього випадку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п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доп</m:t>
            </m:r>
          </m:sup>
        </m:sSubSup>
      </m:oMath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= 0,86 </w:t>
      </w:r>
      <w:proofErr w:type="spellStart"/>
      <w:r w:rsidR="007D770C">
        <w:rPr>
          <w:rFonts w:ascii="Times New Roman" w:hAnsi="Times New Roman" w:cs="Times New Roman"/>
          <w:sz w:val="28"/>
          <w:szCs w:val="28"/>
          <w:lang w:val="uk-UA"/>
        </w:rPr>
        <w:t>дБ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Відзначимо, що через вигин виника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поверхн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напря</w:t>
      </w:r>
      <w:r w:rsidR="007D770C">
        <w:rPr>
          <w:rFonts w:ascii="Times New Roman" w:hAnsi="Times New Roman" w:cs="Times New Roman"/>
          <w:sz w:val="28"/>
          <w:szCs w:val="28"/>
          <w:lang w:val="uk-UA"/>
        </w:rPr>
        <w:t>га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, що призводить до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мікротріщин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. Не зупиняючись на деталях розрахунку механічної точності світловода для нашого прикладу отримаємо, що радіус вигину для забезпечення механічної точність не повинна бути менше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Rмех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= 3,1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Порівнюючи отримані дані допустимих радіусів вигину, бачимо, що визначальними є механічні властивості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 xml:space="preserve">, а не оптичні </w:t>
      </w:r>
      <w:r w:rsidR="00927B77" w:rsidRPr="007D770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927B77" w:rsidRPr="007D77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</w:t>
      </w:r>
      <w:r w:rsidR="00927B77" w:rsidRPr="007D770C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uk-UA"/>
        </w:rPr>
        <w:t>кр</w:t>
      </w:r>
      <w:proofErr w:type="spellEnd"/>
      <w:r w:rsidR="00927B77"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= 3,1мкм)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. В даному випадку згинати світловод по радіусу менше, 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 xml:space="preserve">ніж 3,1 </w:t>
      </w:r>
      <w:proofErr w:type="spellStart"/>
      <w:r w:rsidR="00927B77">
        <w:rPr>
          <w:rFonts w:ascii="Times New Roman" w:hAnsi="Times New Roman" w:cs="Times New Roman"/>
          <w:sz w:val="28"/>
          <w:szCs w:val="28"/>
          <w:lang w:val="uk-UA"/>
        </w:rPr>
        <w:t>мкм</w:t>
      </w:r>
      <w:proofErr w:type="spellEnd"/>
      <w:r w:rsidR="00927B77">
        <w:rPr>
          <w:rFonts w:ascii="Times New Roman" w:hAnsi="Times New Roman" w:cs="Times New Roman"/>
          <w:sz w:val="28"/>
          <w:szCs w:val="28"/>
          <w:lang w:val="uk-UA"/>
        </w:rPr>
        <w:t xml:space="preserve"> не допустимо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927B77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птичне волокно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допускає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вигин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&gt; 20 * 2r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радіус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скрутки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У св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оводах виникають такі типи оптичної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нелінійності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B6E20" w:rsidRPr="00927B77" w:rsidRDefault="00927B77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имушене комбінаційне </w:t>
      </w:r>
      <w:proofErr w:type="spellStart"/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рам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новс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ке</w:t>
      </w:r>
      <w:proofErr w:type="spellEnd"/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 розсіювання;</w:t>
      </w:r>
    </w:p>
    <w:p w:rsidR="00DB6E20" w:rsidRPr="00927B77" w:rsidRDefault="00927B77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имушене розсіювання </w:t>
      </w:r>
      <w:proofErr w:type="spellStart"/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Маньдельштама-Бріл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юена</w:t>
      </w:r>
      <w:proofErr w:type="spellEnd"/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7B77" w:rsidRDefault="00DB6E20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B77">
        <w:rPr>
          <w:rFonts w:ascii="Times New Roman" w:hAnsi="Times New Roman" w:cs="Times New Roman"/>
          <w:sz w:val="28"/>
          <w:szCs w:val="28"/>
          <w:lang w:val="uk-UA"/>
        </w:rPr>
        <w:t>4-хв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27B7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ьо</w:t>
      </w:r>
      <w:r w:rsidRPr="00927B77">
        <w:rPr>
          <w:rFonts w:ascii="Times New Roman" w:hAnsi="Times New Roman" w:cs="Times New Roman"/>
          <w:sz w:val="28"/>
          <w:szCs w:val="28"/>
          <w:lang w:val="uk-UA"/>
        </w:rPr>
        <w:t>ве змішання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B6E20" w:rsidRPr="00927B77" w:rsidRDefault="00DB6E20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фазова </w:t>
      </w:r>
      <w:proofErr w:type="spellStart"/>
      <w:r w:rsidRPr="00927B77">
        <w:rPr>
          <w:rFonts w:ascii="Times New Roman" w:hAnsi="Times New Roman" w:cs="Times New Roman"/>
          <w:sz w:val="28"/>
          <w:szCs w:val="28"/>
          <w:lang w:val="uk-UA"/>
        </w:rPr>
        <w:t>самомодуляція</w:t>
      </w:r>
      <w:proofErr w:type="spellEnd"/>
      <w:r w:rsidR="00927B7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Фізика цих процесів </w:t>
      </w:r>
      <w:r w:rsidR="00927B77" w:rsidRPr="007D770C">
        <w:rPr>
          <w:rFonts w:ascii="Times New Roman" w:hAnsi="Times New Roman" w:cs="Times New Roman"/>
          <w:sz w:val="28"/>
          <w:szCs w:val="28"/>
          <w:lang w:val="uk-UA"/>
        </w:rPr>
        <w:t>описується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методами квантової механіки.</w:t>
      </w:r>
    </w:p>
    <w:p w:rsidR="00927B77" w:rsidRDefault="00927B77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 наприклад:</w:t>
      </w:r>
    </w:p>
    <w:p w:rsidR="00DB6E20" w:rsidRPr="00927B77" w:rsidRDefault="00927B77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мод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ія 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фотонів і молекулярних коливань;</w:t>
      </w:r>
    </w:p>
    <w:p w:rsidR="00DB6E20" w:rsidRPr="00927B77" w:rsidRDefault="00927B77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заємоді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 фотонів і акустичних фо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>онів;</w:t>
      </w:r>
    </w:p>
    <w:p w:rsidR="00DB6E20" w:rsidRPr="00927B77" w:rsidRDefault="00927B77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27B77">
        <w:rPr>
          <w:rFonts w:ascii="Times New Roman" w:hAnsi="Times New Roman" w:cs="Times New Roman"/>
          <w:sz w:val="28"/>
          <w:szCs w:val="28"/>
          <w:lang w:val="uk-UA"/>
        </w:rPr>
        <w:t>заємоді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 фотонів з електронної гратами;</w:t>
      </w:r>
    </w:p>
    <w:p w:rsidR="00DB6E20" w:rsidRPr="00927B77" w:rsidRDefault="00927B77" w:rsidP="00927B77">
      <w:pPr>
        <w:pStyle w:val="a5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ахоплення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збуджених</w:t>
      </w:r>
      <w:r w:rsidR="00DB6E20" w:rsidRPr="00927B77">
        <w:rPr>
          <w:rFonts w:ascii="Times New Roman" w:hAnsi="Times New Roman" w:cs="Times New Roman"/>
          <w:sz w:val="28"/>
          <w:szCs w:val="28"/>
          <w:lang w:val="uk-UA"/>
        </w:rPr>
        <w:t xml:space="preserve"> електронів.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Використання потужних лазерів значно збільшує інтенсивність світла і призводить до вимушен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розширень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Мандельштама-Б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ріллюена</w:t>
      </w:r>
      <w:proofErr w:type="spellEnd"/>
      <w:r w:rsidR="00927B77">
        <w:rPr>
          <w:rFonts w:ascii="Times New Roman" w:hAnsi="Times New Roman" w:cs="Times New Roman"/>
          <w:sz w:val="28"/>
          <w:szCs w:val="28"/>
          <w:lang w:val="uk-UA"/>
        </w:rPr>
        <w:t xml:space="preserve"> і фазової </w:t>
      </w:r>
      <w:proofErr w:type="spellStart"/>
      <w:r w:rsidR="00927B77">
        <w:rPr>
          <w:rFonts w:ascii="Times New Roman" w:hAnsi="Times New Roman" w:cs="Times New Roman"/>
          <w:sz w:val="28"/>
          <w:szCs w:val="28"/>
          <w:lang w:val="uk-UA"/>
        </w:rPr>
        <w:t>самомодуляції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При ще більш високих </w:t>
      </w:r>
      <w:proofErr w:type="spellStart"/>
      <w:r w:rsidR="00927B77">
        <w:rPr>
          <w:rFonts w:ascii="Times New Roman" w:hAnsi="Times New Roman" w:cs="Times New Roman"/>
          <w:sz w:val="28"/>
          <w:szCs w:val="28"/>
          <w:lang w:val="uk-UA"/>
        </w:rPr>
        <w:t>щільностях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енергії буде виявлений ефект вимушеного </w:t>
      </w:r>
      <w:r w:rsidR="00927B77" w:rsidRPr="007D770C">
        <w:rPr>
          <w:rFonts w:ascii="Times New Roman" w:hAnsi="Times New Roman" w:cs="Times New Roman"/>
          <w:sz w:val="28"/>
          <w:szCs w:val="28"/>
          <w:lang w:val="uk-UA"/>
        </w:rPr>
        <w:t>комбін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27B77" w:rsidRPr="007D770C">
        <w:rPr>
          <w:rFonts w:ascii="Times New Roman" w:hAnsi="Times New Roman" w:cs="Times New Roman"/>
          <w:sz w:val="28"/>
          <w:szCs w:val="28"/>
          <w:lang w:val="uk-UA"/>
        </w:rPr>
        <w:t>ційного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розсіювання, але в св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оводах є 4-хв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ве зміш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ння, яке проявляється в системах зі спектральним ущільненням.</w:t>
      </w:r>
    </w:p>
    <w:p w:rsidR="00DB6E20" w:rsidRPr="007D770C" w:rsidRDefault="00927B77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аке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ущільнення називається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спектральним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мультиплекс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уванням 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>з поділом по довжина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B6E20"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хвиль.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Результатом 4-хв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вого зміш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ння є те, що кілька 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 xml:space="preserve">довжин хвиль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змішуються і породжують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нові </w:t>
      </w:r>
      <w:r w:rsidR="00927B77">
        <w:rPr>
          <w:rFonts w:ascii="Times New Roman" w:hAnsi="Times New Roman" w:cs="Times New Roman"/>
          <w:sz w:val="28"/>
          <w:szCs w:val="28"/>
          <w:lang w:val="uk-UA"/>
        </w:rPr>
        <w:t>довжини хвиль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, як:</w:t>
      </w:r>
    </w:p>
    <w:p w:rsidR="00DB6E20" w:rsidRPr="007D770C" w:rsidRDefault="00DB6E20" w:rsidP="005D1B37">
      <w:pPr>
        <w:spacing w:before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N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:lang w:val="uk-UA"/>
        </w:rPr>
        <w:t>2</w:t>
      </w:r>
      <w:r w:rsidR="005D1B37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 xml:space="preserve"> </w:t>
      </w:r>
      <w:r w:rsidRPr="007D770C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(N-1)/2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, де N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первинних довжин хвиль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Так, наприклад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4-канальн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системі (N = 4) з'являються 24 паразитних канал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, а при N = 16 їх число зростає до 1920.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Заважа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ючий</w:t>
      </w:r>
      <w:proofErr w:type="spellEnd"/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вплив такого числа паразитних каналів іноді може бути катастрофічним. Уникнути цього можна правильним вибором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потужності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вихідн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ого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лазера. При вимушен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розсіюванн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Мандельштама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Бріл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юе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spellEnd"/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 істотна частина поширюється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в певному напрямку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випромінювача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 до приймача.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Обидва явища призвод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ть до обмеження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потужності, що передається по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світловод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, а т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ако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ж до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зменшення 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довжини ділянки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 регенерації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Фазова </w:t>
      </w:r>
      <w:proofErr w:type="spellStart"/>
      <w:r w:rsidRPr="007D770C">
        <w:rPr>
          <w:rFonts w:ascii="Times New Roman" w:hAnsi="Times New Roman" w:cs="Times New Roman"/>
          <w:sz w:val="28"/>
          <w:szCs w:val="28"/>
          <w:lang w:val="uk-UA"/>
        </w:rPr>
        <w:t>самомодуляція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призводить до </w:t>
      </w:r>
      <w:proofErr w:type="spellStart"/>
      <w:r w:rsidR="005D1B37">
        <w:rPr>
          <w:rFonts w:ascii="Times New Roman" w:hAnsi="Times New Roman" w:cs="Times New Roman"/>
          <w:sz w:val="28"/>
          <w:szCs w:val="28"/>
          <w:lang w:val="uk-UA"/>
        </w:rPr>
        <w:t>уши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>рення</w:t>
      </w:r>
      <w:proofErr w:type="spellEnd"/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імпульсів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 xml:space="preserve"> та с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потворення сигналів.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ділянці значної довжини може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бути істотним.</w:t>
      </w:r>
    </w:p>
    <w:p w:rsidR="00DB6E20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Для компенсації нелінійних явищ використовують світло</w:t>
      </w:r>
      <w:r w:rsidR="005D1B37">
        <w:rPr>
          <w:rFonts w:ascii="Times New Roman" w:hAnsi="Times New Roman" w:cs="Times New Roman"/>
          <w:sz w:val="28"/>
          <w:szCs w:val="28"/>
          <w:lang w:val="uk-UA"/>
        </w:rPr>
        <w:t>води з</w:t>
      </w:r>
      <w:r w:rsidRPr="007D770C">
        <w:rPr>
          <w:rFonts w:ascii="Times New Roman" w:hAnsi="Times New Roman" w:cs="Times New Roman"/>
          <w:sz w:val="28"/>
          <w:szCs w:val="28"/>
          <w:lang w:val="uk-UA"/>
        </w:rPr>
        <w:t xml:space="preserve"> ненульовий зміщеною дисперсією.</w:t>
      </w:r>
    </w:p>
    <w:p w:rsidR="00AE3BFF" w:rsidRPr="007D770C" w:rsidRDefault="00DB6E20" w:rsidP="007D770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70C">
        <w:rPr>
          <w:rFonts w:ascii="Times New Roman" w:hAnsi="Times New Roman" w:cs="Times New Roman"/>
          <w:sz w:val="28"/>
          <w:szCs w:val="28"/>
          <w:lang w:val="uk-UA"/>
        </w:rPr>
        <w:t>Слід завжди враховувати, що нелінійні ефекти збільшуються у міру збільшення довжини лінії зв'язку.</w:t>
      </w:r>
    </w:p>
    <w:sectPr w:rsidR="00AE3BFF" w:rsidRPr="007D7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71D6"/>
    <w:multiLevelType w:val="hybridMultilevel"/>
    <w:tmpl w:val="FD8A3720"/>
    <w:lvl w:ilvl="0" w:tplc="ABF0933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20"/>
    <w:rsid w:val="005D1B37"/>
    <w:rsid w:val="007D770C"/>
    <w:rsid w:val="00927B77"/>
    <w:rsid w:val="00AE16AA"/>
    <w:rsid w:val="00AE3BFF"/>
    <w:rsid w:val="00DB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FCE9BB-2771-45ED-B874-B4A78B05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E2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D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Бодя†Ice™†</dc:creator>
  <cp:lastModifiedBy>Admin</cp:lastModifiedBy>
  <cp:revision>3</cp:revision>
  <dcterms:created xsi:type="dcterms:W3CDTF">2017-06-12T17:55:00Z</dcterms:created>
  <dcterms:modified xsi:type="dcterms:W3CDTF">2021-09-14T07:15:00Z</dcterms:modified>
</cp:coreProperties>
</file>