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BF" w:rsidRPr="00762F74" w:rsidRDefault="00F864BF" w:rsidP="006A3BE6">
      <w:pPr>
        <w:spacing w:line="300" w:lineRule="auto"/>
        <w:jc w:val="center"/>
        <w:rPr>
          <w:b/>
          <w:sz w:val="28"/>
          <w:szCs w:val="28"/>
        </w:rPr>
      </w:pPr>
      <w:r w:rsidRPr="00762F74">
        <w:rPr>
          <w:b/>
          <w:sz w:val="28"/>
          <w:szCs w:val="28"/>
        </w:rPr>
        <w:t>ОГЛАВЛЕНИЕ</w:t>
      </w:r>
    </w:p>
    <w:p w:rsidR="00852EF8" w:rsidRDefault="00852EF8" w:rsidP="006A3BE6">
      <w:pPr>
        <w:spacing w:line="300" w:lineRule="auto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967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0DB" w:rsidRDefault="002E70DB" w:rsidP="006A3BE6">
          <w:pPr>
            <w:pStyle w:val="a9"/>
            <w:spacing w:line="300" w:lineRule="auto"/>
            <w:ind w:firstLine="567"/>
          </w:pPr>
        </w:p>
        <w:p w:rsidR="00762F74" w:rsidRDefault="002E70DB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2322" w:history="1">
            <w:r w:rsidR="00762F74" w:rsidRPr="002F00A0">
              <w:rPr>
                <w:rStyle w:val="aa"/>
                <w:noProof/>
              </w:rPr>
              <w:t>ВВЕДЕНИЕ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_Toc3502322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4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687387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3" w:history="1">
            <w:r w:rsidR="00762F74" w:rsidRPr="002F00A0">
              <w:rPr>
                <w:rStyle w:val="aa"/>
                <w:noProof/>
              </w:rPr>
              <w:t>1 АНАЛИЗ ПРЕДМЕТНОЙ ОБЛАСТИ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_Toc3502323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5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687387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4" w:history="1">
            <w:r w:rsidR="00762F74" w:rsidRPr="002F00A0">
              <w:rPr>
                <w:rStyle w:val="aa"/>
                <w:noProof/>
              </w:rPr>
              <w:t>2 ПОСТАНОВКА ЗАДАЧИ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_Toc3502324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687387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5" w:history="1">
            <w:r w:rsidR="00762F74" w:rsidRPr="002F00A0">
              <w:rPr>
                <w:rStyle w:val="aa"/>
                <w:noProof/>
              </w:rPr>
              <w:t>2.1   Общие определения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_Toc3502325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687387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6" w:history="1">
            <w:r w:rsidR="00762F74" w:rsidRPr="002F00A0">
              <w:rPr>
                <w:rStyle w:val="aa"/>
                <w:noProof/>
              </w:rPr>
              <w:t>2.2   Требования к программному продукту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_Toc3502326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9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2E70DB" w:rsidRDefault="002E70DB" w:rsidP="006A3BE6">
          <w:pPr>
            <w:spacing w:line="30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852EF8" w:rsidRDefault="00852EF8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</w:pPr>
    </w:p>
    <w:p w:rsidR="00F864BF" w:rsidRDefault="00F864BF" w:rsidP="006A3BE6">
      <w:pPr>
        <w:spacing w:line="30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:rsidR="0061324A" w:rsidRDefault="0061324A" w:rsidP="006A3BE6">
      <w:pPr>
        <w:pStyle w:val="1"/>
        <w:spacing w:line="300" w:lineRule="auto"/>
      </w:pPr>
      <w:bookmarkStart w:id="0" w:name="_Toc3502322"/>
      <w:r w:rsidRPr="0061324A">
        <w:lastRenderedPageBreak/>
        <w:t>ВВЕДЕНИЕ</w:t>
      </w:r>
      <w:bookmarkEnd w:id="0"/>
    </w:p>
    <w:p w:rsidR="0061324A" w:rsidRPr="0061324A" w:rsidRDefault="0061324A" w:rsidP="006A3BE6">
      <w:pPr>
        <w:spacing w:line="300" w:lineRule="auto"/>
        <w:jc w:val="center"/>
        <w:rPr>
          <w:rFonts w:cs="Times New Roman"/>
          <w:b/>
          <w:sz w:val="28"/>
          <w:szCs w:val="28"/>
        </w:rPr>
      </w:pPr>
    </w:p>
    <w:p w:rsidR="00814C79" w:rsidRDefault="00C178C8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В</w:t>
      </w:r>
      <w:r w:rsidR="00074033" w:rsidRPr="007E0AA6">
        <w:rPr>
          <w:rFonts w:cs="Times New Roman"/>
          <w:szCs w:val="26"/>
        </w:rPr>
        <w:t xml:space="preserve"> наши дни</w:t>
      </w:r>
      <w:r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сложно представить</w:t>
      </w:r>
      <w:r w:rsidR="004D2DBD" w:rsidRPr="007E0AA6">
        <w:rPr>
          <w:rFonts w:cs="Times New Roman"/>
          <w:szCs w:val="26"/>
        </w:rPr>
        <w:t xml:space="preserve"> себе</w:t>
      </w:r>
      <w:r w:rsidR="00074033" w:rsidRPr="007E0AA6">
        <w:rPr>
          <w:rFonts w:cs="Times New Roman"/>
          <w:szCs w:val="26"/>
        </w:rPr>
        <w:t xml:space="preserve"> компанию</w:t>
      </w:r>
      <w:r w:rsidR="004D2DBD" w:rsidRPr="007E0AA6">
        <w:rPr>
          <w:rFonts w:cs="Times New Roman"/>
          <w:szCs w:val="26"/>
        </w:rPr>
        <w:t xml:space="preserve"> в той или иной сфере</w:t>
      </w:r>
      <w:r w:rsidR="00074033" w:rsidRPr="007E0AA6">
        <w:rPr>
          <w:rFonts w:cs="Times New Roman"/>
          <w:szCs w:val="26"/>
        </w:rPr>
        <w:t>, которая</w:t>
      </w:r>
      <w:r w:rsidR="00225E3F"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ведет проекты</w:t>
      </w:r>
      <w:r w:rsidR="00225E3F" w:rsidRPr="007E0AA6">
        <w:rPr>
          <w:rFonts w:cs="Times New Roman"/>
          <w:szCs w:val="26"/>
        </w:rPr>
        <w:t xml:space="preserve"> без системы управления проектами.</w:t>
      </w:r>
      <w:r w:rsidR="00DD5D8B" w:rsidRPr="007E0AA6">
        <w:rPr>
          <w:rFonts w:cs="Times New Roman"/>
          <w:szCs w:val="26"/>
        </w:rPr>
        <w:t xml:space="preserve"> В условиях командной работы часто приходится планировать и распределять задачи между членами </w:t>
      </w:r>
      <w:r w:rsidR="00F526EB" w:rsidRPr="007E0AA6">
        <w:rPr>
          <w:rFonts w:cs="Times New Roman"/>
          <w:szCs w:val="26"/>
        </w:rPr>
        <w:t>команды</w:t>
      </w:r>
      <w:r w:rsidR="004D2DBD" w:rsidRPr="007E0AA6">
        <w:rPr>
          <w:rFonts w:cs="Times New Roman"/>
          <w:szCs w:val="26"/>
        </w:rPr>
        <w:t>, а также оптимизировать рабочий процесс</w:t>
      </w:r>
      <w:r w:rsidR="00F526EB" w:rsidRPr="007E0AA6">
        <w:rPr>
          <w:rFonts w:cs="Times New Roman"/>
          <w:szCs w:val="26"/>
        </w:rPr>
        <w:t xml:space="preserve">. </w:t>
      </w:r>
      <w:r w:rsidR="0061324A" w:rsidRPr="007E0AA6">
        <w:rPr>
          <w:rFonts w:cs="Times New Roman"/>
          <w:szCs w:val="26"/>
        </w:rPr>
        <w:t>Устная постановка задач</w:t>
      </w:r>
      <w:r w:rsidR="00856951">
        <w:rPr>
          <w:rFonts w:cs="Times New Roman"/>
          <w:szCs w:val="26"/>
        </w:rPr>
        <w:t>, в условиях даже небольшого проекта,</w:t>
      </w:r>
      <w:r w:rsidR="0061324A" w:rsidRPr="007E0AA6">
        <w:rPr>
          <w:rFonts w:cs="Times New Roman"/>
          <w:szCs w:val="26"/>
        </w:rPr>
        <w:t xml:space="preserve"> неудобна в использовании. </w:t>
      </w:r>
      <w:r w:rsidR="00F526EB" w:rsidRPr="007E0AA6">
        <w:rPr>
          <w:rFonts w:cs="Times New Roman"/>
          <w:szCs w:val="26"/>
        </w:rPr>
        <w:t xml:space="preserve">На </w:t>
      </w:r>
      <w:r w:rsidR="004D2DBD" w:rsidRPr="007E0AA6">
        <w:rPr>
          <w:rFonts w:cs="Times New Roman"/>
          <w:szCs w:val="26"/>
        </w:rPr>
        <w:t>проектах</w:t>
      </w:r>
      <w:r w:rsidR="00F526EB" w:rsidRPr="007E0AA6">
        <w:rPr>
          <w:rFonts w:cs="Times New Roman"/>
          <w:szCs w:val="26"/>
        </w:rPr>
        <w:t xml:space="preserve">, </w:t>
      </w:r>
      <w:r w:rsidR="007E0AA6">
        <w:rPr>
          <w:rFonts w:cs="Times New Roman"/>
          <w:szCs w:val="26"/>
        </w:rPr>
        <w:t>где работу выполняю</w:t>
      </w:r>
      <w:r w:rsidR="004D2DBD" w:rsidRPr="007E0AA6">
        <w:rPr>
          <w:rFonts w:cs="Times New Roman"/>
          <w:szCs w:val="26"/>
        </w:rPr>
        <w:t>т</w:t>
      </w:r>
      <w:r w:rsidR="00F526EB" w:rsidRPr="007E0AA6">
        <w:rPr>
          <w:rFonts w:cs="Times New Roman"/>
          <w:szCs w:val="26"/>
        </w:rPr>
        <w:t xml:space="preserve"> несколько человек, сложно </w:t>
      </w:r>
      <w:r w:rsidR="004D2DBD" w:rsidRPr="007E0AA6">
        <w:rPr>
          <w:rFonts w:cs="Times New Roman"/>
          <w:szCs w:val="26"/>
        </w:rPr>
        <w:t>запомнить</w:t>
      </w:r>
      <w:r w:rsidR="00F526EB" w:rsidRPr="007E0AA6">
        <w:rPr>
          <w:rFonts w:cs="Times New Roman"/>
          <w:szCs w:val="26"/>
        </w:rPr>
        <w:t xml:space="preserve"> какие задачи необходимо выполнить, и кто закреплен за ними</w:t>
      </w:r>
      <w:r w:rsidR="00295059" w:rsidRPr="007E0AA6">
        <w:rPr>
          <w:rFonts w:cs="Times New Roman"/>
          <w:szCs w:val="26"/>
        </w:rPr>
        <w:t>, обеспечив при этом прозрачность</w:t>
      </w:r>
      <w:r w:rsidR="00F526EB" w:rsidRPr="007E0AA6">
        <w:rPr>
          <w:rFonts w:cs="Times New Roman"/>
          <w:szCs w:val="26"/>
        </w:rPr>
        <w:t>.</w:t>
      </w:r>
      <w:r w:rsidR="00D524F3">
        <w:rPr>
          <w:rFonts w:cs="Times New Roman"/>
          <w:szCs w:val="26"/>
        </w:rPr>
        <w:t xml:space="preserve"> Кроме того, у работника может</w:t>
      </w:r>
      <w:r w:rsidR="008B3EC1" w:rsidRPr="007E0AA6">
        <w:rPr>
          <w:rFonts w:cs="Times New Roman"/>
          <w:szCs w:val="26"/>
        </w:rPr>
        <w:t xml:space="preserve"> </w:t>
      </w:r>
      <w:r w:rsidR="00D524F3">
        <w:rPr>
          <w:rFonts w:cs="Times New Roman"/>
          <w:szCs w:val="26"/>
        </w:rPr>
        <w:t>часто возникать необходимость переключаться между задачами или даже проектами.</w:t>
      </w:r>
      <w:r w:rsidR="00856951">
        <w:rPr>
          <w:rFonts w:cs="Times New Roman"/>
          <w:szCs w:val="26"/>
        </w:rPr>
        <w:t xml:space="preserve"> </w:t>
      </w:r>
    </w:p>
    <w:p w:rsidR="00330C73" w:rsidRDefault="0085695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Зачастую</w:t>
      </w:r>
      <w:r w:rsidR="00327F95">
        <w:rPr>
          <w:rFonts w:cs="Times New Roman"/>
          <w:szCs w:val="26"/>
        </w:rPr>
        <w:t xml:space="preserve"> вначале проектирования</w:t>
      </w:r>
      <w:r>
        <w:rPr>
          <w:rFonts w:cs="Times New Roman"/>
          <w:szCs w:val="26"/>
        </w:rPr>
        <w:t xml:space="preserve"> сложно предвидеть всю архитектуру проекта </w:t>
      </w:r>
      <w:r w:rsidR="00947AF4">
        <w:rPr>
          <w:rFonts w:cs="Times New Roman"/>
          <w:szCs w:val="26"/>
        </w:rPr>
        <w:t>и учесть ряд прошлых ошибок, что может плохо отразиться на качестве и времени выполнения поставленной цели.</w:t>
      </w:r>
      <w:r w:rsidR="00814C79">
        <w:rPr>
          <w:rFonts w:cs="Times New Roman"/>
          <w:szCs w:val="26"/>
        </w:rPr>
        <w:t xml:space="preserve"> </w:t>
      </w:r>
      <w:r w:rsidR="00330C73">
        <w:rPr>
          <w:rFonts w:cs="Times New Roman"/>
          <w:szCs w:val="26"/>
        </w:rPr>
        <w:t xml:space="preserve">Выше перечислены лишь немногие проблемы, которые могут возникать в процессе разработки некого продукта. </w:t>
      </w:r>
      <w:r w:rsidR="00330C73" w:rsidRPr="00330C73">
        <w:rPr>
          <w:rFonts w:cs="Times New Roman"/>
          <w:szCs w:val="26"/>
        </w:rPr>
        <w:t xml:space="preserve">Источником </w:t>
      </w:r>
      <w:r w:rsidR="00330C73">
        <w:rPr>
          <w:rFonts w:cs="Times New Roman"/>
          <w:szCs w:val="26"/>
        </w:rPr>
        <w:t>подобных</w:t>
      </w:r>
      <w:r w:rsidR="00330C73" w:rsidRPr="00330C73">
        <w:rPr>
          <w:rFonts w:cs="Times New Roman"/>
          <w:szCs w:val="26"/>
        </w:rPr>
        <w:t xml:space="preserve"> проблем является то, что принятые решения, описания требований и того </w:t>
      </w:r>
      <w:r w:rsidR="00330C73">
        <w:rPr>
          <w:rFonts w:cs="Times New Roman"/>
          <w:szCs w:val="26"/>
        </w:rPr>
        <w:t>что должен представлять из себя конечный продукт</w:t>
      </w:r>
      <w:r w:rsidR="00330C73" w:rsidRPr="00330C73">
        <w:rPr>
          <w:rFonts w:cs="Times New Roman"/>
          <w:szCs w:val="26"/>
        </w:rPr>
        <w:t xml:space="preserve"> нигде не фиксируется</w:t>
      </w:r>
      <w:r w:rsidR="00330C73">
        <w:rPr>
          <w:rFonts w:cs="Times New Roman"/>
          <w:szCs w:val="26"/>
        </w:rPr>
        <w:t>.</w:t>
      </w:r>
    </w:p>
    <w:p w:rsidR="002963A0" w:rsidRDefault="00D524F3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Из этого можно сделать вывод, что</w:t>
      </w:r>
      <w:r w:rsidRPr="00D524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стоит </w:t>
      </w:r>
      <w:r w:rsidR="002963A0">
        <w:rPr>
          <w:rFonts w:cs="Times New Roman"/>
          <w:szCs w:val="26"/>
        </w:rPr>
        <w:t>ввести письменную документацию, но за этим может так же последовать ряд проблем</w:t>
      </w:r>
      <w:r w:rsidR="0024606C">
        <w:rPr>
          <w:rFonts w:cs="Times New Roman"/>
          <w:szCs w:val="26"/>
        </w:rPr>
        <w:t>. Требования, описанные в письмах или сообщениях, иногда затруднительно собрать воедино и можно просто забыть о них. Так же могут возникать трудности с анализом прошлых ошибок и внесением корректировок в текущие задачи.</w:t>
      </w:r>
    </w:p>
    <w:p w:rsidR="00F67550" w:rsidRDefault="00947AF4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Лучшим решением данного вопроса является </w:t>
      </w:r>
      <w:r w:rsidR="00814C79">
        <w:rPr>
          <w:rFonts w:cs="Times New Roman"/>
          <w:szCs w:val="26"/>
        </w:rPr>
        <w:t>автоматизация управленческой деятельности, которая может быть реализована в виде системы управления проектами.</w:t>
      </w:r>
    </w:p>
    <w:p w:rsidR="00F67550" w:rsidRPr="007E0AA6" w:rsidRDefault="00F6755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Целью данного дипломного проекта является решение вышеупомянутых вопросов и создание системы</w:t>
      </w:r>
      <w:r w:rsidRPr="00F67550">
        <w:rPr>
          <w:rFonts w:cs="Times New Roman"/>
          <w:szCs w:val="26"/>
        </w:rPr>
        <w:t xml:space="preserve"> для ведения документации, управления задачами и анализа проблем в разработке проекта.</w:t>
      </w:r>
    </w:p>
    <w:p w:rsidR="006254C7" w:rsidRDefault="006254C7" w:rsidP="006A3BE6">
      <w:pPr>
        <w:spacing w:line="300" w:lineRule="auto"/>
        <w:rPr>
          <w:rFonts w:cs="Times New Roman"/>
          <w:szCs w:val="26"/>
        </w:rPr>
      </w:pPr>
    </w:p>
    <w:p w:rsidR="0024606C" w:rsidRDefault="0024606C" w:rsidP="006A3BE6">
      <w:pPr>
        <w:tabs>
          <w:tab w:val="left" w:pos="5880"/>
        </w:tabs>
        <w:spacing w:line="300" w:lineRule="auto"/>
      </w:pPr>
      <w:r>
        <w:tab/>
      </w:r>
    </w:p>
    <w:p w:rsidR="006254C7" w:rsidRDefault="006254C7" w:rsidP="006A3BE6">
      <w:pPr>
        <w:tabs>
          <w:tab w:val="left" w:pos="5880"/>
        </w:tabs>
        <w:spacing w:line="300" w:lineRule="auto"/>
      </w:pPr>
      <w:r w:rsidRPr="0024606C">
        <w:br w:type="page"/>
      </w:r>
    </w:p>
    <w:p w:rsidR="006254C7" w:rsidRDefault="00574BB4" w:rsidP="006A3BE6">
      <w:pPr>
        <w:pStyle w:val="1"/>
        <w:spacing w:line="300" w:lineRule="auto"/>
        <w:ind w:firstLine="567"/>
        <w:jc w:val="left"/>
      </w:pPr>
      <w:bookmarkStart w:id="1" w:name="_Toc3502323"/>
      <w:r>
        <w:lastRenderedPageBreak/>
        <w:t xml:space="preserve">1 </w:t>
      </w:r>
      <w:r w:rsidR="006254C7">
        <w:t>АНАЛИЗ ПРЕДМЕТНОЙ ОБЛАСТИ</w:t>
      </w:r>
      <w:bookmarkEnd w:id="1"/>
    </w:p>
    <w:p w:rsidR="008B3EC1" w:rsidRPr="007E0AA6" w:rsidRDefault="008B3EC1" w:rsidP="006A3BE6">
      <w:pPr>
        <w:spacing w:line="300" w:lineRule="auto"/>
        <w:rPr>
          <w:rFonts w:cs="Times New Roman"/>
          <w:szCs w:val="26"/>
        </w:rPr>
      </w:pPr>
    </w:p>
    <w:p w:rsidR="006254C7" w:rsidRPr="007E0AA6" w:rsidRDefault="006254C7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Система управления проектами – является комплексом технологических и организационных методов и инструментов, поддерживающих управление проектами и повышающих эффективности их реализации. Такая система обычно соединяет в себе ряд других приложений, таких как: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планирование задач;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составление расписания;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распределение совместной работы;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общения;</w:t>
      </w:r>
    </w:p>
    <w:p w:rsidR="006254C7" w:rsidRPr="006254C7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6254C7">
        <w:rPr>
          <w:rFonts w:cs="Times New Roman"/>
          <w:szCs w:val="26"/>
        </w:rPr>
        <w:t>документирование и администрирование системы.</w:t>
      </w:r>
    </w:p>
    <w:p w:rsidR="00EA3807" w:rsidRPr="00EA3807" w:rsidRDefault="00EA3807" w:rsidP="006A3BE6">
      <w:pPr>
        <w:spacing w:line="300" w:lineRule="auto"/>
        <w:ind w:firstLine="567"/>
        <w:rPr>
          <w:rFonts w:cs="Times New Roman"/>
          <w:szCs w:val="26"/>
        </w:rPr>
      </w:pPr>
      <w:r w:rsidRPr="00EA3807">
        <w:rPr>
          <w:rFonts w:cs="Times New Roman"/>
          <w:szCs w:val="26"/>
        </w:rPr>
        <w:t>Система управления проектами повышает эффективность командной работы, качество проектного менеджмента руководителями проекта. Предоставляет возможность планировать, выставлять приоритеты задач, обсуждать задачи по средствам комментариев между командой, просматривать историю выполненных задач.</w:t>
      </w:r>
    </w:p>
    <w:p w:rsidR="00074033" w:rsidRPr="007E0AA6" w:rsidRDefault="00074033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Задачи систем управления проектами: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проект-менеджера необходимыми инструментами планирования и контроля процесса реализации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участникам проекта понятных инструментов для решения задач и доступа к соответствующей информации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руководителям подразделений инструментария по контролю загрузки исполнителей проектных и непроектных задач и информации для принятия решений о назначении сотрудников на новые проекты и перераспределении нагрузки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Снабжение директора удобными инструментами, позволяющими автоматизировать рутинные операции и устанавливать контроль состояния всего портфеля проектов и качества работы руководителей каждого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руководителя проекта целостной моделью мониторинга портфеля проектов и анализа принимаемых решений и сопутствующих отклонений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акционеров компании инструментом для мониторинга соответствия проектного портфеля стратегическим целям компании</w:t>
      </w:r>
      <w:r w:rsidR="00275B6D" w:rsidRPr="007E0AA6">
        <w:rPr>
          <w:rFonts w:cs="Times New Roman"/>
          <w:color w:val="222222"/>
          <w:szCs w:val="26"/>
          <w:shd w:val="clear" w:color="auto" w:fill="FFFFFF"/>
        </w:rPr>
        <w:t>.</w:t>
      </w:r>
    </w:p>
    <w:p w:rsidR="00275B6D" w:rsidRPr="007E0AA6" w:rsidRDefault="00354497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На мировом рынке существует несколько программных решений по управлению проектами: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  <w:lang w:val="en-US"/>
        </w:rPr>
        <w:lastRenderedPageBreak/>
        <w:t>Jira</w:t>
      </w:r>
      <w:r w:rsidR="00354497">
        <w:rPr>
          <w:rFonts w:cs="Times New Roman"/>
          <w:szCs w:val="26"/>
        </w:rPr>
        <w:t xml:space="preserve"> </w:t>
      </w:r>
      <w:r w:rsidRPr="007E0AA6">
        <w:rPr>
          <w:rFonts w:cs="Times New Roman"/>
          <w:szCs w:val="26"/>
        </w:rPr>
        <w:t xml:space="preserve">– </w:t>
      </w:r>
      <w:r w:rsidR="008B3EC1" w:rsidRPr="007E0AA6">
        <w:rPr>
          <w:rFonts w:cs="Times New Roman"/>
          <w:szCs w:val="26"/>
        </w:rPr>
        <w:t xml:space="preserve">это коммерческая </w:t>
      </w:r>
      <w:r w:rsidRPr="007E0AA6">
        <w:rPr>
          <w:rFonts w:cs="Times New Roman"/>
          <w:szCs w:val="26"/>
        </w:rPr>
        <w:t>система</w:t>
      </w:r>
      <w:r w:rsidR="00354497">
        <w:rPr>
          <w:rFonts w:cs="Times New Roman"/>
          <w:szCs w:val="26"/>
        </w:rPr>
        <w:t xml:space="preserve"> отслеживания ошибок, предназначенная для организации взаимодействия с пользователями и</w:t>
      </w:r>
      <w:r w:rsidRPr="007E0AA6">
        <w:rPr>
          <w:rFonts w:cs="Times New Roman"/>
          <w:szCs w:val="26"/>
        </w:rPr>
        <w:t xml:space="preserve"> управления проектами</w:t>
      </w:r>
      <w:r w:rsidR="00354497">
        <w:rPr>
          <w:rFonts w:cs="Times New Roman"/>
          <w:szCs w:val="26"/>
        </w:rPr>
        <w:t>. Система разработан</w:t>
      </w:r>
      <w:r w:rsidR="008B3EC1" w:rsidRPr="007E0AA6">
        <w:rPr>
          <w:rFonts w:cs="Times New Roman"/>
          <w:szCs w:val="26"/>
        </w:rPr>
        <w:t xml:space="preserve">а компанией </w:t>
      </w:r>
      <w:proofErr w:type="spellStart"/>
      <w:r w:rsidR="008B3EC1" w:rsidRPr="007E0AA6">
        <w:rPr>
          <w:rFonts w:cs="Times New Roman"/>
          <w:szCs w:val="26"/>
        </w:rPr>
        <w:t>Atlassian</w:t>
      </w:r>
      <w:proofErr w:type="spellEnd"/>
      <w:r w:rsidR="008B3EC1" w:rsidRPr="007E0AA6">
        <w:rPr>
          <w:rFonts w:cs="Times New Roman"/>
          <w:szCs w:val="26"/>
        </w:rPr>
        <w:t xml:space="preserve"> в 2002 году</w:t>
      </w:r>
      <w:r w:rsidR="00354497">
        <w:rPr>
          <w:rFonts w:cs="Times New Roman"/>
          <w:szCs w:val="26"/>
        </w:rPr>
        <w:t xml:space="preserve"> и является одним из двух ее основных продуктов (наряду с</w:t>
      </w:r>
      <w:r w:rsidR="00354497" w:rsidRPr="00354497">
        <w:rPr>
          <w:rFonts w:cs="Times New Roman"/>
          <w:szCs w:val="26"/>
        </w:rPr>
        <w:t xml:space="preserve"> вики-системой </w:t>
      </w:r>
      <w:proofErr w:type="spellStart"/>
      <w:r w:rsidR="00354497" w:rsidRPr="00354497">
        <w:rPr>
          <w:rFonts w:cs="Times New Roman"/>
          <w:szCs w:val="26"/>
        </w:rPr>
        <w:t>Confluence</w:t>
      </w:r>
      <w:proofErr w:type="spellEnd"/>
      <w:r w:rsidR="00354497">
        <w:rPr>
          <w:rFonts w:cs="Times New Roman"/>
          <w:szCs w:val="26"/>
        </w:rPr>
        <w:t>)</w:t>
      </w:r>
      <w:r w:rsidR="005C0A11" w:rsidRPr="007E0AA6">
        <w:rPr>
          <w:rFonts w:cs="Times New Roman"/>
          <w:szCs w:val="26"/>
        </w:rPr>
        <w:t>.</w:t>
      </w:r>
      <w:r w:rsidR="00354497">
        <w:rPr>
          <w:rFonts w:cs="Times New Roman"/>
          <w:szCs w:val="26"/>
        </w:rPr>
        <w:t xml:space="preserve"> Веб-интерфейс предоставляет возможности по созданию задач, отслеживанию процесса работы над проектом и многое другое.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Преимущества:</w:t>
      </w:r>
    </w:p>
    <w:p w:rsidR="00275B6D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275B6D" w:rsidRPr="00C73B2A">
        <w:rPr>
          <w:rFonts w:cs="Times New Roman"/>
          <w:szCs w:val="26"/>
        </w:rPr>
        <w:t>ирокий функционал;</w:t>
      </w:r>
    </w:p>
    <w:p w:rsidR="00C36B9D" w:rsidRPr="00C73B2A" w:rsidRDefault="00C36B9D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стабильность работы;</w:t>
      </w:r>
    </w:p>
    <w:p w:rsidR="00275B6D" w:rsidRPr="00C73B2A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275B6D" w:rsidRPr="00C73B2A">
        <w:rPr>
          <w:rFonts w:cs="Times New Roman"/>
          <w:szCs w:val="26"/>
        </w:rPr>
        <w:t>аличие мобильного приложения</w:t>
      </w:r>
      <w:r w:rsidR="00B13C2E">
        <w:rPr>
          <w:rFonts w:cs="Times New Roman"/>
          <w:szCs w:val="26"/>
        </w:rPr>
        <w:t>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Недостатки:</w:t>
      </w:r>
    </w:p>
    <w:p w:rsidR="00BA1BF7" w:rsidRPr="00C73B2A" w:rsidRDefault="00C73B2A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BA1BF7" w:rsidRPr="00C73B2A">
        <w:rPr>
          <w:rFonts w:cs="Times New Roman"/>
          <w:szCs w:val="26"/>
        </w:rPr>
        <w:t>ирокий функционал</w:t>
      </w:r>
      <w:r w:rsidR="00B13C2E">
        <w:rPr>
          <w:rFonts w:cs="Times New Roman"/>
          <w:szCs w:val="26"/>
        </w:rPr>
        <w:t xml:space="preserve"> и сложный интерфейс</w:t>
      </w:r>
      <w:r w:rsidR="00BA1BF7" w:rsidRPr="00C73B2A">
        <w:rPr>
          <w:rFonts w:cs="Times New Roman"/>
          <w:szCs w:val="26"/>
        </w:rPr>
        <w:t xml:space="preserve"> так же </w:t>
      </w:r>
      <w:r w:rsidR="00354497">
        <w:rPr>
          <w:rFonts w:cs="Times New Roman"/>
          <w:szCs w:val="26"/>
        </w:rPr>
        <w:t>делает систему сложной по порогу вхождения</w:t>
      </w:r>
      <w:r w:rsidR="00BA1BF7" w:rsidRPr="00C73B2A">
        <w:rPr>
          <w:rFonts w:cs="Times New Roman"/>
          <w:szCs w:val="26"/>
        </w:rPr>
        <w:t>;</w:t>
      </w:r>
    </w:p>
    <w:p w:rsidR="00BA1BF7" w:rsidRDefault="00354497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высокая стоимость</w:t>
      </w:r>
      <w:r w:rsidR="00B13C2E">
        <w:rPr>
          <w:rFonts w:cs="Times New Roman"/>
          <w:szCs w:val="26"/>
        </w:rPr>
        <w:t>;</w:t>
      </w:r>
    </w:p>
    <w:p w:rsidR="00B13C2E" w:rsidRP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необходимость иметь специального администратора, который должен обслуживать пользователей в случае </w:t>
      </w:r>
      <w:r w:rsidRPr="00B13C2E">
        <w:rPr>
          <w:rFonts w:cs="Times New Roman"/>
          <w:szCs w:val="26"/>
        </w:rPr>
        <w:t>возникновения проблем</w:t>
      </w:r>
      <w:r>
        <w:rPr>
          <w:rFonts w:cs="Times New Roman"/>
          <w:szCs w:val="26"/>
        </w:rPr>
        <w:t>;</w:t>
      </w:r>
    </w:p>
    <w:p w:rsid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проблемы, связанные с интеграцией с другими сервисами, например, </w:t>
      </w:r>
      <w:proofErr w:type="spellStart"/>
      <w:r>
        <w:rPr>
          <w:rFonts w:cs="Times New Roman"/>
          <w:szCs w:val="26"/>
        </w:rPr>
        <w:t>Битрикс</w:t>
      </w:r>
      <w:proofErr w:type="spellEnd"/>
      <w:r>
        <w:rPr>
          <w:rFonts w:cs="Times New Roman"/>
          <w:szCs w:val="26"/>
        </w:rPr>
        <w:t>.</w:t>
      </w:r>
    </w:p>
    <w:p w:rsidR="00C36B9D" w:rsidRDefault="00C7599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F52A433" wp14:editId="30720C26">
            <wp:simplePos x="0" y="0"/>
            <wp:positionH relativeFrom="column">
              <wp:posOffset>-41910</wp:posOffset>
            </wp:positionH>
            <wp:positionV relativeFrom="paragraph">
              <wp:posOffset>735965</wp:posOffset>
            </wp:positionV>
            <wp:extent cx="5940425" cy="2917825"/>
            <wp:effectExtent l="0" t="0" r="3175" b="0"/>
            <wp:wrapTopAndBottom/>
            <wp:docPr id="1" name="Рисунок 1" descr="ÐÐ°ÑÑÐ¸Ð½ÐºÐ¸ Ð¿Ð¾ Ð·Ð°Ð¿ÑÐ¾ÑÑ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i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>Н</w:t>
      </w:r>
      <w:r w:rsidRPr="00A009E0">
        <w:rPr>
          <w:rFonts w:cs="Times New Roman"/>
          <w:szCs w:val="26"/>
        </w:rPr>
        <w:t>а рисунке</w:t>
      </w:r>
      <w:r>
        <w:rPr>
          <w:rFonts w:cs="Times New Roman"/>
          <w:szCs w:val="26"/>
        </w:rPr>
        <w:t xml:space="preserve"> 1.1 приведен п</w:t>
      </w:r>
      <w:r w:rsidR="00A009E0">
        <w:rPr>
          <w:rFonts w:cs="Times New Roman"/>
          <w:szCs w:val="26"/>
        </w:rPr>
        <w:t xml:space="preserve">ользовательский интерфейс, </w:t>
      </w:r>
      <w:r>
        <w:rPr>
          <w:rFonts w:cs="Times New Roman"/>
          <w:szCs w:val="26"/>
        </w:rPr>
        <w:t xml:space="preserve">который </w:t>
      </w:r>
      <w:r w:rsidRPr="00C75991">
        <w:rPr>
          <w:rFonts w:cs="Times New Roman"/>
          <w:szCs w:val="26"/>
        </w:rPr>
        <w:t>отражает список задач и детальное описание выбранной задачи.</w:t>
      </w:r>
    </w:p>
    <w:p w:rsidR="00C75991" w:rsidRPr="00C73B2A" w:rsidRDefault="00C75991" w:rsidP="006A3BE6">
      <w:pPr>
        <w:spacing w:line="300" w:lineRule="auto"/>
        <w:ind w:firstLine="567"/>
        <w:rPr>
          <w:rFonts w:cs="Times New Roman"/>
          <w:szCs w:val="26"/>
        </w:rPr>
      </w:pPr>
    </w:p>
    <w:p w:rsidR="008D3DC5" w:rsidRPr="008D3DC5" w:rsidRDefault="00B87AB9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</w:t>
      </w:r>
      <w:r w:rsidRPr="008D3DC5">
        <w:rPr>
          <w:rFonts w:cs="Times New Roman"/>
          <w:szCs w:val="26"/>
        </w:rPr>
        <w:t xml:space="preserve"> 1.</w:t>
      </w:r>
      <w:r w:rsidR="00BF3123">
        <w:rPr>
          <w:rFonts w:cs="Times New Roman"/>
          <w:szCs w:val="26"/>
        </w:rPr>
        <w:t>1</w:t>
      </w:r>
      <w:r w:rsidRPr="008D3DC5">
        <w:rPr>
          <w:rFonts w:cs="Times New Roman"/>
          <w:szCs w:val="26"/>
        </w:rPr>
        <w:t xml:space="preserve"> – </w:t>
      </w:r>
      <w:r w:rsidR="008D3DC5">
        <w:rPr>
          <w:rFonts w:cs="Times New Roman"/>
          <w:szCs w:val="26"/>
        </w:rPr>
        <w:t xml:space="preserve">Пользовательский интерфейс системы управления проектами </w:t>
      </w:r>
      <w:r w:rsidR="008D3DC5">
        <w:rPr>
          <w:rFonts w:cs="Times New Roman"/>
          <w:szCs w:val="26"/>
          <w:lang w:val="en-US"/>
        </w:rPr>
        <w:t>Jira</w:t>
      </w:r>
    </w:p>
    <w:p w:rsidR="00C75991" w:rsidRDefault="00A009E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  <w:proofErr w:type="gramStart"/>
      <w:r w:rsidR="008B3EC1" w:rsidRPr="007E0AA6">
        <w:rPr>
          <w:rFonts w:cs="Times New Roman"/>
          <w:szCs w:val="26"/>
          <w:lang w:val="en-US"/>
        </w:rPr>
        <w:lastRenderedPageBreak/>
        <w:t>Trello</w:t>
      </w:r>
      <w:r w:rsidR="008B3EC1" w:rsidRPr="007E0AA6">
        <w:rPr>
          <w:rFonts w:cs="Times New Roman"/>
          <w:szCs w:val="26"/>
        </w:rPr>
        <w:t xml:space="preserve"> – программа для управления проектами небольших групп</w:t>
      </w:r>
      <w:r w:rsidR="0061324A" w:rsidRPr="007E0AA6">
        <w:rPr>
          <w:rFonts w:cs="Times New Roman"/>
          <w:szCs w:val="26"/>
        </w:rPr>
        <w:t>.</w:t>
      </w:r>
      <w:proofErr w:type="gramEnd"/>
      <w:r w:rsidR="00C73B2A">
        <w:rPr>
          <w:rFonts w:cs="Times New Roman"/>
          <w:szCs w:val="26"/>
        </w:rPr>
        <w:t xml:space="preserve"> </w:t>
      </w:r>
      <w:r w:rsidR="00C73B2A" w:rsidRPr="00C73B2A">
        <w:rPr>
          <w:rFonts w:cs="Times New Roman"/>
          <w:szCs w:val="26"/>
        </w:rPr>
        <w:t>Система построена по японскому принципу управления «</w:t>
      </w:r>
      <w:proofErr w:type="spellStart"/>
      <w:r w:rsidR="00C73B2A" w:rsidRPr="00C73B2A">
        <w:rPr>
          <w:rFonts w:cs="Times New Roman"/>
          <w:szCs w:val="26"/>
        </w:rPr>
        <w:t>канбан</w:t>
      </w:r>
      <w:proofErr w:type="spellEnd"/>
      <w:r w:rsidR="00C73B2A" w:rsidRPr="00C73B2A">
        <w:rPr>
          <w:rFonts w:cs="Times New Roman"/>
          <w:szCs w:val="26"/>
        </w:rPr>
        <w:t>», который предполагает последовательный контроль за этапами производства.</w:t>
      </w:r>
      <w:r w:rsidR="005F0CC8">
        <w:rPr>
          <w:rFonts w:cs="Times New Roman"/>
          <w:szCs w:val="26"/>
        </w:rPr>
        <w:t xml:space="preserve"> В </w:t>
      </w:r>
      <w:r w:rsidR="005F0CC8">
        <w:rPr>
          <w:rFonts w:cs="Times New Roman"/>
          <w:szCs w:val="26"/>
          <w:lang w:val="en-US"/>
        </w:rPr>
        <w:t>Trello</w:t>
      </w:r>
      <w:r w:rsidR="005F0CC8">
        <w:rPr>
          <w:rFonts w:cs="Times New Roman"/>
          <w:szCs w:val="26"/>
        </w:rPr>
        <w:t xml:space="preserve"> систематизация осуществляется с помощью досок</w:t>
      </w:r>
      <w:r w:rsidR="00C75991">
        <w:rPr>
          <w:rFonts w:cs="Times New Roman"/>
          <w:szCs w:val="26"/>
        </w:rPr>
        <w:t>, которые можно увидеть на рисунке 1.2.</w:t>
      </w:r>
      <w:r w:rsidR="005F0CC8">
        <w:rPr>
          <w:rFonts w:cs="Times New Roman"/>
          <w:szCs w:val="26"/>
        </w:rPr>
        <w:t xml:space="preserve"> </w:t>
      </w:r>
      <w:r w:rsidR="00C75991">
        <w:rPr>
          <w:rFonts w:cs="Times New Roman"/>
          <w:szCs w:val="26"/>
        </w:rPr>
        <w:t>Э</w:t>
      </w:r>
      <w:r w:rsidR="005F0CC8">
        <w:rPr>
          <w:rFonts w:cs="Times New Roman"/>
          <w:szCs w:val="26"/>
        </w:rPr>
        <w:t xml:space="preserve">то могут быть различные проекты или процессы в компании. Доска состоит из </w:t>
      </w:r>
      <w:r w:rsidR="006A3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CE0B50" wp14:editId="1994C785">
            <wp:simplePos x="0" y="0"/>
            <wp:positionH relativeFrom="column">
              <wp:posOffset>287655</wp:posOffset>
            </wp:positionH>
            <wp:positionV relativeFrom="paragraph">
              <wp:posOffset>1903730</wp:posOffset>
            </wp:positionV>
            <wp:extent cx="5000625" cy="3557270"/>
            <wp:effectExtent l="0" t="0" r="9525" b="5080"/>
            <wp:wrapTopAndBottom/>
            <wp:docPr id="2" name="Рисунок 2" descr="ÐÐ°ÑÑÐ¸Ð½ÐºÐ¸ Ð¿Ð¾ Ð·Ð°Ð¿ÑÐ¾ÑÑ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trell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3065" r="4095" b="7851"/>
                    <a:stretch/>
                  </pic:blipFill>
                  <pic:spPr bwMode="auto">
                    <a:xfrm>
                      <a:off x="0" y="0"/>
                      <a:ext cx="50006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C8">
        <w:rPr>
          <w:rFonts w:cs="Times New Roman"/>
          <w:szCs w:val="26"/>
        </w:rPr>
        <w:t>списков – вертикальных колонок, расположенных слева направо, которые показывают этапы производства, от идей до реализации.</w:t>
      </w:r>
      <w:r w:rsidR="00C36B9D">
        <w:rPr>
          <w:rFonts w:cs="Times New Roman"/>
          <w:szCs w:val="26"/>
        </w:rPr>
        <w:t xml:space="preserve"> </w:t>
      </w:r>
    </w:p>
    <w:p w:rsidR="006A3BE6" w:rsidRDefault="006A3BE6" w:rsidP="006A3BE6">
      <w:pPr>
        <w:spacing w:line="300" w:lineRule="auto"/>
        <w:jc w:val="center"/>
        <w:rPr>
          <w:rFonts w:cs="Times New Roman"/>
          <w:szCs w:val="26"/>
        </w:rPr>
      </w:pPr>
    </w:p>
    <w:p w:rsidR="00C75991" w:rsidRPr="00BF3123" w:rsidRDefault="00C75991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 1</w:t>
      </w:r>
      <w:r w:rsidRPr="008D3DC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Pr="008D3DC5">
        <w:rPr>
          <w:rFonts w:cs="Times New Roman"/>
          <w:szCs w:val="26"/>
        </w:rPr>
        <w:t xml:space="preserve"> – </w:t>
      </w:r>
      <w:r w:rsidR="006A3BE6">
        <w:rPr>
          <w:rFonts w:cs="Times New Roman"/>
          <w:szCs w:val="26"/>
        </w:rPr>
        <w:t>Доски со списками задач в п</w:t>
      </w:r>
      <w:r>
        <w:rPr>
          <w:rFonts w:cs="Times New Roman"/>
          <w:szCs w:val="26"/>
        </w:rPr>
        <w:t>ользовательск</w:t>
      </w:r>
      <w:r w:rsidR="006A3BE6">
        <w:rPr>
          <w:rFonts w:cs="Times New Roman"/>
          <w:szCs w:val="26"/>
        </w:rPr>
        <w:t>ом</w:t>
      </w:r>
      <w:r>
        <w:rPr>
          <w:rFonts w:cs="Times New Roman"/>
          <w:szCs w:val="26"/>
        </w:rPr>
        <w:t xml:space="preserve"> интерфейс</w:t>
      </w:r>
      <w:r w:rsidR="006A3BE6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менеджере задач </w:t>
      </w:r>
      <w:r>
        <w:rPr>
          <w:rFonts w:cs="Times New Roman"/>
          <w:szCs w:val="26"/>
          <w:lang w:val="en-US"/>
        </w:rPr>
        <w:t>Trello</w:t>
      </w:r>
    </w:p>
    <w:p w:rsidR="006A3BE6" w:rsidRDefault="006A3BE6" w:rsidP="006A3BE6">
      <w:pPr>
        <w:spacing w:line="300" w:lineRule="auto"/>
        <w:ind w:firstLine="567"/>
        <w:rPr>
          <w:rFonts w:cs="Times New Roman"/>
          <w:szCs w:val="26"/>
        </w:rPr>
      </w:pPr>
    </w:p>
    <w:p w:rsidR="00C36B9D" w:rsidRPr="00C36B9D" w:rsidRDefault="00C36B9D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C36B9D">
        <w:rPr>
          <w:rFonts w:cs="Times New Roman"/>
          <w:szCs w:val="26"/>
        </w:rPr>
        <w:t xml:space="preserve"> силу своей простоты</w:t>
      </w:r>
      <w:r w:rsidR="00C75991">
        <w:rPr>
          <w:rFonts w:cs="Times New Roman"/>
          <w:szCs w:val="26"/>
        </w:rPr>
        <w:t xml:space="preserve"> </w:t>
      </w:r>
      <w:r w:rsidR="00C75991" w:rsidRPr="007E0AA6">
        <w:rPr>
          <w:rFonts w:cs="Times New Roman"/>
          <w:szCs w:val="26"/>
          <w:lang w:val="en-US"/>
        </w:rPr>
        <w:t>Trello</w:t>
      </w:r>
      <w:r w:rsidR="00C75991">
        <w:rPr>
          <w:rFonts w:cs="Times New Roman"/>
          <w:szCs w:val="26"/>
        </w:rPr>
        <w:t xml:space="preserve"> </w:t>
      </w:r>
      <w:r w:rsidRPr="00C36B9D">
        <w:rPr>
          <w:rFonts w:cs="Times New Roman"/>
          <w:szCs w:val="26"/>
        </w:rPr>
        <w:t xml:space="preserve">имеет ряд </w:t>
      </w:r>
      <w:r>
        <w:rPr>
          <w:rFonts w:cs="Times New Roman"/>
          <w:szCs w:val="26"/>
        </w:rPr>
        <w:t>преимуществ</w:t>
      </w:r>
      <w:r w:rsidRPr="00C36B9D">
        <w:rPr>
          <w:rFonts w:cs="Times New Roman"/>
          <w:szCs w:val="26"/>
        </w:rPr>
        <w:t>: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интуитивно понятный</w:t>
      </w:r>
      <w:r w:rsidR="00C36B9D">
        <w:rPr>
          <w:rFonts w:cs="Times New Roman"/>
          <w:szCs w:val="26"/>
        </w:rPr>
        <w:t xml:space="preserve"> и привлекательный</w:t>
      </w:r>
      <w:r>
        <w:rPr>
          <w:rFonts w:cs="Times New Roman"/>
          <w:szCs w:val="26"/>
        </w:rPr>
        <w:t xml:space="preserve"> интерфейс;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у</w:t>
      </w:r>
      <w:r w:rsidRPr="005F0CC8">
        <w:rPr>
          <w:rFonts w:cs="Times New Roman"/>
          <w:szCs w:val="26"/>
        </w:rPr>
        <w:t xml:space="preserve">добен </w:t>
      </w:r>
      <w:r>
        <w:rPr>
          <w:rFonts w:cs="Times New Roman"/>
          <w:szCs w:val="26"/>
        </w:rPr>
        <w:t xml:space="preserve">для небольших </w:t>
      </w:r>
      <w:r w:rsidR="00C36B9D">
        <w:rPr>
          <w:rFonts w:cs="Times New Roman"/>
          <w:szCs w:val="26"/>
        </w:rPr>
        <w:t>команд</w:t>
      </w:r>
      <w:r w:rsidR="00720109">
        <w:rPr>
          <w:rFonts w:cs="Times New Roman"/>
          <w:szCs w:val="26"/>
        </w:rPr>
        <w:t xml:space="preserve"> и ежедневного планирования</w:t>
      </w:r>
      <w:r w:rsidR="00C36B9D">
        <w:rPr>
          <w:rFonts w:cs="Times New Roman"/>
          <w:szCs w:val="26"/>
        </w:rPr>
        <w:t xml:space="preserve"> бытовых</w:t>
      </w:r>
      <w:r w:rsidR="00720109">
        <w:rPr>
          <w:rFonts w:cs="Times New Roman"/>
          <w:szCs w:val="26"/>
        </w:rPr>
        <w:t xml:space="preserve"> задач</w:t>
      </w:r>
      <w:r>
        <w:rPr>
          <w:rFonts w:cs="Times New Roman"/>
          <w:szCs w:val="26"/>
        </w:rPr>
        <w:t>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</w:t>
      </w:r>
      <w:r w:rsidRPr="005F0CC8">
        <w:rPr>
          <w:rFonts w:cs="Times New Roman"/>
          <w:szCs w:val="26"/>
        </w:rPr>
        <w:t>ервис условно бесплатен – основной функционал позволяет работать почти без ограничений.</w:t>
      </w:r>
    </w:p>
    <w:p w:rsidR="005F0CC8" w:rsidRDefault="005F0CC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Недостатки:</w:t>
      </w:r>
    </w:p>
    <w:p w:rsidR="0061324A" w:rsidRPr="00720109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</w:t>
      </w:r>
      <w:r w:rsidR="005F0CC8" w:rsidRPr="00720109">
        <w:rPr>
          <w:rFonts w:cs="Times New Roman"/>
          <w:szCs w:val="26"/>
        </w:rPr>
        <w:t>подходит для глобальных задач</w:t>
      </w:r>
      <w:r w:rsidR="00C36B9D">
        <w:rPr>
          <w:rFonts w:cs="Times New Roman"/>
          <w:szCs w:val="26"/>
        </w:rPr>
        <w:t xml:space="preserve"> и работы над крупными проектами, из-за упрощенного функционала</w:t>
      </w:r>
      <w:r>
        <w:rPr>
          <w:rFonts w:cs="Times New Roman"/>
          <w:szCs w:val="26"/>
        </w:rPr>
        <w:t>;</w:t>
      </w:r>
    </w:p>
    <w:p w:rsidR="005F0CC8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</w:t>
      </w:r>
      <w:r w:rsidR="005F0CC8" w:rsidRPr="00720109">
        <w:rPr>
          <w:rFonts w:cs="Times New Roman"/>
          <w:szCs w:val="26"/>
        </w:rPr>
        <w:t>ельзя отслеживать аналитику и формировать отчеты</w:t>
      </w:r>
      <w:r w:rsidR="00C36B9D">
        <w:rPr>
          <w:rFonts w:cs="Times New Roman"/>
          <w:szCs w:val="26"/>
        </w:rPr>
        <w:t>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административный контроль и другие улучшения доступны в платной версии программы;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низкий уровень безопасности.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05119" w:rsidRDefault="00BF3123" w:rsidP="006A3BE6">
      <w:pPr>
        <w:pStyle w:val="1"/>
        <w:spacing w:line="300" w:lineRule="auto"/>
        <w:ind w:firstLine="567"/>
        <w:jc w:val="left"/>
      </w:pPr>
      <w:bookmarkStart w:id="2" w:name="_Toc3502324"/>
      <w:r w:rsidRPr="00852EF8">
        <w:lastRenderedPageBreak/>
        <w:t xml:space="preserve">2 </w:t>
      </w:r>
      <w:r w:rsidR="00905119">
        <w:t>ПОСТАНОВКА ЗАДАЧИ</w:t>
      </w:r>
      <w:bookmarkEnd w:id="2"/>
    </w:p>
    <w:p w:rsidR="00905119" w:rsidRDefault="00905119" w:rsidP="006A3BE6">
      <w:pPr>
        <w:spacing w:line="300" w:lineRule="auto"/>
      </w:pPr>
    </w:p>
    <w:p w:rsidR="00852EF8" w:rsidRPr="005C6F53" w:rsidRDefault="00852EF8" w:rsidP="006A3BE6">
      <w:pPr>
        <w:pStyle w:val="3"/>
        <w:spacing w:line="300" w:lineRule="auto"/>
        <w:ind w:firstLine="567"/>
      </w:pPr>
      <w:bookmarkStart w:id="3" w:name="_Toc3499440"/>
      <w:bookmarkStart w:id="4" w:name="_Toc3502325"/>
      <w:r w:rsidRPr="005C6F53">
        <w:t>2.1   Общие определения</w:t>
      </w:r>
      <w:bookmarkEnd w:id="3"/>
      <w:bookmarkEnd w:id="4"/>
    </w:p>
    <w:p w:rsidR="00852EF8" w:rsidRPr="00852EF8" w:rsidRDefault="00852EF8" w:rsidP="006A3BE6">
      <w:pPr>
        <w:spacing w:line="300" w:lineRule="auto"/>
        <w:rPr>
          <w:rFonts w:cs="Times New Roman"/>
          <w:szCs w:val="26"/>
        </w:rPr>
      </w:pP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 </w:t>
      </w:r>
      <w:r w:rsidR="00852EF8" w:rsidRPr="00852EF8">
        <w:rPr>
          <w:rFonts w:cs="Times New Roman"/>
          <w:szCs w:val="26"/>
        </w:rPr>
        <w:t>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прав доступа. Для различных проектов пользователь может иметь различные права доступа.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Права доступа </w:t>
      </w:r>
      <w:r w:rsidR="00852EF8" w:rsidRPr="00852EF8">
        <w:rPr>
          <w:rFonts w:cs="Times New Roman"/>
          <w:szCs w:val="26"/>
        </w:rPr>
        <w:t>– разрешение на определенные действия в рамках проекта для конкретного пользователя. В отношении проектов существуют следующие виды прав доступа: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просмотр задач – возможность просматривать основной информации по проектным задачам;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задачами – возможность создания и редактирования задач;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проектом – возможность изменять имя, описание и другие параметры проекта.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Администратор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специальный пользователь, который отвечает за управление </w:t>
      </w:r>
      <w:proofErr w:type="gramStart"/>
      <w:r w:rsidRPr="00852EF8">
        <w:rPr>
          <w:rFonts w:cs="Times New Roman"/>
          <w:szCs w:val="26"/>
        </w:rPr>
        <w:t>пользовательскими</w:t>
      </w:r>
      <w:proofErr w:type="gramEnd"/>
      <w:r w:rsidRPr="00852EF8">
        <w:rPr>
          <w:rFonts w:cs="Times New Roman"/>
          <w:szCs w:val="26"/>
        </w:rPr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Проект </w:t>
      </w:r>
      <w:r w:rsidR="00852EF8" w:rsidRPr="00852EF8">
        <w:rPr>
          <w:rFonts w:cs="Times New Roman"/>
          <w:szCs w:val="26"/>
        </w:rPr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6F7A3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Подзадача</w:t>
      </w:r>
      <w:r>
        <w:rPr>
          <w:rFonts w:cs="Times New Roman"/>
          <w:szCs w:val="26"/>
        </w:rPr>
        <w:t xml:space="preserve"> </w:t>
      </w:r>
      <w:r w:rsidR="00173173">
        <w:rPr>
          <w:rFonts w:cs="Times New Roman"/>
          <w:szCs w:val="26"/>
        </w:rPr>
        <w:t>– дочерняя задача, которая н</w:t>
      </w:r>
      <w:r w:rsidRPr="00852EF8">
        <w:rPr>
          <w:rFonts w:cs="Times New Roman"/>
          <w:szCs w:val="26"/>
        </w:rPr>
        <w:t>еобходима для детализации или разбиения некоторой задачи на несколько подзадач (подзадачи могут быть созданы для любого типа задачи кроме подзадачи).</w:t>
      </w:r>
    </w:p>
    <w:p w:rsidR="00852EF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Нововведение – новая задача, новая функция или новое свойство системы </w:t>
      </w:r>
      <w:r w:rsidR="00852EF8" w:rsidRPr="00852EF8">
        <w:rPr>
          <w:rFonts w:cs="Times New Roman"/>
          <w:szCs w:val="26"/>
        </w:rPr>
        <w:t>– задача, связанная с реализацией чего-то нового.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Дефект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задача, связанная с исправлением определенных проблем.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Иная задача</w:t>
      </w:r>
      <w:r w:rsidR="006F7A38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абстрактный тип задачи, обычно используется для тех случаев, когда другие типы задач не подходят.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Исполнитель </w:t>
      </w:r>
      <w:r w:rsidR="00852EF8" w:rsidRPr="00852EF8">
        <w:rPr>
          <w:rFonts w:cs="Times New Roman"/>
          <w:szCs w:val="26"/>
        </w:rPr>
        <w:t>– конкретный пользователь, ответственный за выполнение задачи.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Приоритет </w:t>
      </w:r>
      <w:r w:rsidR="00852EF8" w:rsidRPr="00852EF8">
        <w:rPr>
          <w:rFonts w:cs="Times New Roman"/>
          <w:szCs w:val="26"/>
        </w:rPr>
        <w:t>– приоритет задачи. Означает важность этой задачи по отношению к другим. Виды приоритетов: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Тривиальный </w:t>
      </w:r>
      <w:r w:rsidR="00852EF8" w:rsidRPr="00852EF8">
        <w:rPr>
          <w:rFonts w:cs="Times New Roman"/>
          <w:szCs w:val="26"/>
        </w:rPr>
        <w:t>– означает минимальный приоритет задачи (например</w:t>
      </w:r>
      <w:r w:rsidR="00852EF8">
        <w:rPr>
          <w:rFonts w:cs="Times New Roman"/>
          <w:szCs w:val="26"/>
        </w:rPr>
        <w:t>,</w:t>
      </w:r>
      <w:r w:rsidR="00852EF8" w:rsidRPr="00852EF8">
        <w:rPr>
          <w:rFonts w:cs="Times New Roman"/>
          <w:szCs w:val="26"/>
        </w:rPr>
        <w:t xml:space="preserve"> изменение цвета кнопки, сортировка документов и т.п.);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Низкий </w:t>
      </w:r>
      <w:r w:rsidR="00852EF8" w:rsidRPr="00852EF8">
        <w:rPr>
          <w:rFonts w:cs="Times New Roman"/>
          <w:szCs w:val="26"/>
        </w:rPr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этого приоритета</w:t>
      </w:r>
      <w:r w:rsidR="00852EF8" w:rsidRPr="00852EF8">
        <w:rPr>
          <w:rFonts w:cs="Times New Roman"/>
          <w:szCs w:val="26"/>
        </w:rPr>
        <w:t>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Высокий </w:t>
      </w:r>
      <w:r w:rsidR="00852EF8" w:rsidRPr="00852EF8">
        <w:rPr>
          <w:rFonts w:cs="Times New Roman"/>
          <w:szCs w:val="26"/>
        </w:rPr>
        <w:t>– означает высокий приоритет и важность выполнения этой задачи для конечного клиента/заказчика;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Критический </w:t>
      </w:r>
      <w:r w:rsidR="00852EF8" w:rsidRPr="00852EF8">
        <w:rPr>
          <w:rFonts w:cs="Times New Roman"/>
          <w:szCs w:val="26"/>
        </w:rPr>
        <w:t xml:space="preserve">– означает высокий приоритет и </w:t>
      </w:r>
      <w:r w:rsidR="005D70CA">
        <w:rPr>
          <w:rFonts w:cs="Times New Roman"/>
          <w:szCs w:val="26"/>
        </w:rPr>
        <w:t xml:space="preserve">первоочередность </w:t>
      </w:r>
      <w:r w:rsidR="00852EF8" w:rsidRPr="00852EF8"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выполнения такой задачи</w:t>
      </w:r>
      <w:r w:rsidR="00852EF8" w:rsidRPr="00852EF8">
        <w:rPr>
          <w:rFonts w:cs="Times New Roman"/>
          <w:szCs w:val="26"/>
        </w:rPr>
        <w:t>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Блокирующий </w:t>
      </w:r>
      <w:r w:rsidR="00852EF8" w:rsidRPr="00852EF8">
        <w:rPr>
          <w:rFonts w:cs="Times New Roman"/>
          <w:szCs w:val="26"/>
        </w:rPr>
        <w:t xml:space="preserve">– также высокий приоритет, </w:t>
      </w:r>
      <w:r>
        <w:rPr>
          <w:rFonts w:cs="Times New Roman"/>
          <w:szCs w:val="26"/>
        </w:rPr>
        <w:t>отличающийся от</w:t>
      </w:r>
      <w:r w:rsidR="00852EF8" w:rsidRPr="00852EF8">
        <w:rPr>
          <w:rFonts w:cs="Times New Roman"/>
          <w:szCs w:val="26"/>
        </w:rPr>
        <w:t xml:space="preserve"> других подобных тем, что </w:t>
      </w:r>
      <w:r>
        <w:rPr>
          <w:rFonts w:cs="Times New Roman"/>
          <w:szCs w:val="26"/>
        </w:rPr>
        <w:t xml:space="preserve">задача с этим приоритетом будет препятствовать </w:t>
      </w:r>
      <w:r w:rsidR="005D70CA">
        <w:rPr>
          <w:rFonts w:cs="Times New Roman"/>
          <w:szCs w:val="26"/>
        </w:rPr>
        <w:t>работе других</w:t>
      </w:r>
      <w:r>
        <w:rPr>
          <w:rFonts w:cs="Times New Roman"/>
          <w:szCs w:val="26"/>
        </w:rPr>
        <w:t xml:space="preserve"> участник</w:t>
      </w:r>
      <w:r w:rsidR="005D70CA">
        <w:rPr>
          <w:rFonts w:cs="Times New Roman"/>
          <w:szCs w:val="26"/>
        </w:rPr>
        <w:t>ов</w:t>
      </w:r>
      <w:r>
        <w:rPr>
          <w:rFonts w:cs="Times New Roman"/>
          <w:szCs w:val="26"/>
        </w:rPr>
        <w:t xml:space="preserve"> команды</w:t>
      </w:r>
      <w:r w:rsidR="00852EF8" w:rsidRPr="00852EF8">
        <w:rPr>
          <w:rFonts w:cs="Times New Roman"/>
          <w:szCs w:val="26"/>
        </w:rPr>
        <w:t>.</w:t>
      </w:r>
    </w:p>
    <w:p w:rsidR="00852EF8" w:rsidRPr="00852EF8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Предполагаемое время </w:t>
      </w:r>
      <w:r w:rsidR="00852EF8" w:rsidRPr="00852EF8">
        <w:rPr>
          <w:rFonts w:cs="Times New Roman"/>
          <w:szCs w:val="26"/>
        </w:rPr>
        <w:t>– запланированное время необходимое для выполнения задачи.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Затраченное время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фактически потраченное время на </w:t>
      </w:r>
      <w:r w:rsidR="005D70CA">
        <w:rPr>
          <w:rFonts w:cs="Times New Roman"/>
          <w:szCs w:val="26"/>
        </w:rPr>
        <w:t xml:space="preserve">выполнение </w:t>
      </w:r>
      <w:r w:rsidRPr="00852EF8">
        <w:rPr>
          <w:rFonts w:cs="Times New Roman"/>
          <w:szCs w:val="26"/>
        </w:rPr>
        <w:t>задач</w:t>
      </w:r>
      <w:r w:rsidR="005D70CA">
        <w:rPr>
          <w:rFonts w:cs="Times New Roman"/>
          <w:szCs w:val="26"/>
        </w:rPr>
        <w:t>и</w:t>
      </w:r>
      <w:r w:rsidRPr="00852EF8">
        <w:rPr>
          <w:rFonts w:cs="Times New Roman"/>
          <w:szCs w:val="26"/>
        </w:rPr>
        <w:t>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Статья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документ, содержащий некоторую информацию о проекте в целом или о какой-либо </w:t>
      </w:r>
      <w:r w:rsidR="006F7A38">
        <w:rPr>
          <w:rFonts w:cs="Times New Roman"/>
          <w:szCs w:val="26"/>
        </w:rPr>
        <w:t>задаче.</w:t>
      </w:r>
    </w:p>
    <w:p w:rsidR="00905119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Статус – означает стадию, на котором находится задача.</w:t>
      </w:r>
      <w:r w:rsidR="006F7A38">
        <w:rPr>
          <w:rFonts w:cs="Times New Roman"/>
          <w:szCs w:val="26"/>
        </w:rPr>
        <w:t xml:space="preserve"> Статус задачи может быть следующих видов: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Открыта – означает, задача создана и ей присвоен исполнитель;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Выполняется – исполнитель принял задачу и находится в процессе ее выполнения;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– задача была выполнена</w:t>
      </w:r>
      <w:r w:rsidR="00173173">
        <w:rPr>
          <w:rFonts w:cs="Times New Roman"/>
          <w:szCs w:val="26"/>
        </w:rPr>
        <w:t xml:space="preserve"> исполнителем и сейчас находится в процессе тестирования</w:t>
      </w:r>
      <w:r>
        <w:rPr>
          <w:rFonts w:cs="Times New Roman"/>
          <w:szCs w:val="26"/>
        </w:rPr>
        <w:t>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Завершена</w:t>
      </w:r>
      <w:r w:rsidR="00173173">
        <w:rPr>
          <w:rFonts w:cs="Times New Roman"/>
          <w:szCs w:val="26"/>
        </w:rPr>
        <w:t xml:space="preserve"> – задача была протестирована, ошибок не выявлено;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Верификация</w:t>
      </w:r>
      <w:r w:rsidR="00173173">
        <w:rPr>
          <w:rFonts w:cs="Times New Roman"/>
          <w:szCs w:val="26"/>
        </w:rPr>
        <w:t xml:space="preserve"> – выполненная и протестированная задача находится на стадии проверки более квалифицированными работниками, для определения правильности ее решения, с точки зрения логичности применения тех или иных методов для ее исполнения.</w:t>
      </w:r>
    </w:p>
    <w:p w:rsidR="006A3BE6" w:rsidRPr="006F7A38" w:rsidRDefault="006A3BE6" w:rsidP="006A3BE6">
      <w:pPr>
        <w:pStyle w:val="a4"/>
        <w:spacing w:line="300" w:lineRule="auto"/>
        <w:ind w:left="567"/>
        <w:rPr>
          <w:rFonts w:cs="Times New Roman"/>
          <w:szCs w:val="26"/>
        </w:rPr>
      </w:pPr>
    </w:p>
    <w:p w:rsidR="00852EF8" w:rsidRDefault="00852EF8" w:rsidP="006A3BE6">
      <w:pPr>
        <w:pStyle w:val="3"/>
        <w:spacing w:line="300" w:lineRule="auto"/>
        <w:ind w:firstLine="567"/>
      </w:pPr>
      <w:bookmarkStart w:id="5" w:name="_Toc3502326"/>
      <w:r w:rsidRPr="00852EF8">
        <w:lastRenderedPageBreak/>
        <w:t>2</w:t>
      </w:r>
      <w:r>
        <w:t>.2</w:t>
      </w:r>
      <w:r w:rsidRPr="00852EF8">
        <w:t xml:space="preserve">   </w:t>
      </w:r>
      <w:r>
        <w:t>Требования к программному продукту</w:t>
      </w:r>
      <w:bookmarkEnd w:id="5"/>
    </w:p>
    <w:p w:rsidR="005C6F53" w:rsidRPr="005C6F53" w:rsidRDefault="005C6F53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Необходимо разработать систему для реализации удобного и эффективного управления проектами. Основные возможности: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различных событий, зависящих друг от друга;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</w:t>
      </w:r>
      <w:proofErr w:type="spellStart"/>
      <w:r w:rsidRPr="00852EF8">
        <w:rPr>
          <w:rFonts w:cs="Times New Roman"/>
          <w:szCs w:val="26"/>
        </w:rPr>
        <w:t>work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break-down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structure</w:t>
      </w:r>
      <w:proofErr w:type="spellEnd"/>
      <w:r w:rsidRPr="00852EF8">
        <w:rPr>
          <w:rFonts w:cs="Times New Roman"/>
          <w:szCs w:val="26"/>
        </w:rPr>
        <w:t xml:space="preserve"> — WBS);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расписания работы сотрудников и назначение ресурсов на конкретные задачи;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расчет времени, необходимого на решение каждой из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сортировка задач в зависимости от сроков их завершения;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презентация графика работ по проекту в виде диаграммы </w:t>
      </w:r>
      <w:proofErr w:type="spellStart"/>
      <w:r w:rsidRPr="00852EF8">
        <w:rPr>
          <w:rFonts w:cs="Times New Roman"/>
          <w:szCs w:val="26"/>
        </w:rPr>
        <w:t>Гантта</w:t>
      </w:r>
      <w:proofErr w:type="spellEnd"/>
      <w:r w:rsidRPr="00852EF8">
        <w:rPr>
          <w:rFonts w:cs="Times New Roman"/>
          <w:szCs w:val="26"/>
        </w:rPr>
        <w:t>[2];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несколькими проектами одновременно.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списком задач для сотрудников и предоставление информации по распределения ресурсов;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сроках выполнения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возможность раннего предупреждения о возможных рисках, связанных с проектом;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рабочей нагрузке;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предоставление информации о ходе проекта, показатели и их прогнозирование.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обсуждение и согласование рабочих вопросов проекта;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фиксация проблем проекта и запросов на изменения, их обработка;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ведение рисков проекта и управление ими.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Рабочее название системы - </w:t>
      </w:r>
      <w:r w:rsidRPr="00852EF8">
        <w:rPr>
          <w:rFonts w:cs="Times New Roman"/>
          <w:szCs w:val="26"/>
          <w:lang w:val="en-US"/>
        </w:rPr>
        <w:t>Ziro</w:t>
      </w:r>
      <w:r w:rsidRPr="00852EF8">
        <w:rPr>
          <w:rFonts w:cs="Times New Roman"/>
          <w:szCs w:val="26"/>
        </w:rPr>
        <w:t>.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75AFF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  <w:r w:rsidRPr="00EE2552">
        <w:rPr>
          <w:rFonts w:cs="Times New Roman"/>
          <w:b/>
          <w:sz w:val="28"/>
          <w:szCs w:val="28"/>
        </w:rPr>
        <w:lastRenderedPageBreak/>
        <w:t xml:space="preserve">4 </w:t>
      </w:r>
      <w:r w:rsidR="00975AFF" w:rsidRPr="00EE2552">
        <w:rPr>
          <w:rFonts w:cs="Times New Roman"/>
          <w:b/>
          <w:sz w:val="28"/>
          <w:szCs w:val="28"/>
        </w:rPr>
        <w:t>РЕАЛИЗАЦИЯ</w:t>
      </w:r>
    </w:p>
    <w:p w:rsidR="00EE2552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</w:p>
    <w:p w:rsidR="00EE2552" w:rsidRDefault="00EE2552" w:rsidP="00EE2552">
      <w:pPr>
        <w:pStyle w:val="3"/>
        <w:ind w:firstLine="567"/>
      </w:pPr>
      <w:bookmarkStart w:id="6" w:name="_Toc8851793"/>
      <w:r>
        <w:t>4</w:t>
      </w:r>
      <w:r>
        <w:t xml:space="preserve">.1 </w:t>
      </w:r>
      <w:bookmarkEnd w:id="6"/>
      <w:r>
        <w:t>Визуальная часть</w:t>
      </w:r>
    </w:p>
    <w:p w:rsidR="00EE2552" w:rsidRDefault="00EE2552" w:rsidP="006E1F3A">
      <w:pPr>
        <w:spacing w:after="0" w:line="300" w:lineRule="auto"/>
        <w:ind w:left="567"/>
        <w:rPr>
          <w:rFonts w:cs="Times New Roman"/>
          <w:szCs w:val="26"/>
        </w:rPr>
      </w:pPr>
    </w:p>
    <w:p w:rsidR="00687387" w:rsidRDefault="00D43982" w:rsidP="00EE2552">
      <w:pPr>
        <w:spacing w:after="0" w:line="300" w:lineRule="auto"/>
        <w:ind w:firstLine="567"/>
        <w:rPr>
          <w:rFonts w:cs="Times New Roman"/>
          <w:szCs w:val="26"/>
        </w:rPr>
      </w:pPr>
      <w:r>
        <w:t>Пользовательский интерфейс</w:t>
      </w:r>
      <w:r w:rsidRPr="00D43982">
        <w:t xml:space="preserve"> </w:t>
      </w:r>
      <w:r>
        <w:t>с</w:t>
      </w:r>
      <w:r w:rsidR="006E1F3A">
        <w:rPr>
          <w:rFonts w:cs="Times New Roman"/>
          <w:szCs w:val="26"/>
        </w:rPr>
        <w:t>истем</w:t>
      </w:r>
      <w:r>
        <w:rPr>
          <w:rFonts w:cs="Times New Roman"/>
          <w:szCs w:val="26"/>
        </w:rPr>
        <w:t>ы</w:t>
      </w:r>
      <w:r w:rsidR="006E1F3A">
        <w:rPr>
          <w:rFonts w:cs="Times New Roman"/>
          <w:szCs w:val="26"/>
        </w:rPr>
        <w:t xml:space="preserve"> управления проектами </w:t>
      </w:r>
      <w:r w:rsidR="006E1F3A" w:rsidRPr="006E1F3A">
        <w:rPr>
          <w:rFonts w:cs="Times New Roman"/>
          <w:szCs w:val="26"/>
        </w:rPr>
        <w:t>“</w:t>
      </w:r>
      <w:r w:rsidR="006E1F3A">
        <w:rPr>
          <w:rFonts w:cs="Times New Roman"/>
          <w:szCs w:val="26"/>
          <w:lang w:val="en-US"/>
        </w:rPr>
        <w:t>ZIRO</w:t>
      </w:r>
      <w:r w:rsidR="006E1F3A" w:rsidRPr="006E1F3A">
        <w:rPr>
          <w:rFonts w:cs="Times New Roman"/>
          <w:szCs w:val="26"/>
        </w:rPr>
        <w:t>”</w:t>
      </w:r>
      <w:r w:rsidR="00975AFF" w:rsidRPr="00975AFF">
        <w:rPr>
          <w:rFonts w:cs="Times New Roman"/>
          <w:szCs w:val="26"/>
        </w:rPr>
        <w:t xml:space="preserve"> выдержан в минималистичном стиле с элементами современного </w:t>
      </w:r>
      <w:proofErr w:type="spellStart"/>
      <w:r w:rsidR="00975AFF" w:rsidRPr="00975AFF">
        <w:rPr>
          <w:rFonts w:cs="Times New Roman"/>
          <w:szCs w:val="26"/>
        </w:rPr>
        <w:t>material</w:t>
      </w:r>
      <w:proofErr w:type="spellEnd"/>
      <w:r w:rsidR="00975AFF" w:rsidRPr="00975AFF">
        <w:rPr>
          <w:rFonts w:cs="Times New Roman"/>
          <w:szCs w:val="26"/>
        </w:rPr>
        <w:t xml:space="preserve"> дизайна</w:t>
      </w:r>
      <w:r w:rsidR="006E1F3A">
        <w:rPr>
          <w:rFonts w:cs="Times New Roman"/>
          <w:szCs w:val="26"/>
        </w:rPr>
        <w:t xml:space="preserve"> и представляет собой </w:t>
      </w:r>
      <w:proofErr w:type="gramStart"/>
      <w:r w:rsidR="002D5601">
        <w:rPr>
          <w:rFonts w:cs="Times New Roman"/>
          <w:szCs w:val="26"/>
        </w:rPr>
        <w:t>одностраничное</w:t>
      </w:r>
      <w:proofErr w:type="gramEnd"/>
      <w:r w:rsidR="002D5601">
        <w:rPr>
          <w:rFonts w:cs="Times New Roman"/>
          <w:szCs w:val="26"/>
        </w:rPr>
        <w:t xml:space="preserve"> </w:t>
      </w:r>
      <w:r w:rsidR="006E1F3A">
        <w:rPr>
          <w:rFonts w:cs="Times New Roman"/>
          <w:szCs w:val="26"/>
        </w:rPr>
        <w:t>веб-приложение</w:t>
      </w:r>
      <w:r w:rsidR="002D5601">
        <w:rPr>
          <w:rFonts w:cs="Times New Roman"/>
          <w:szCs w:val="26"/>
        </w:rPr>
        <w:t xml:space="preserve"> (</w:t>
      </w:r>
      <w:r w:rsidR="002D5601">
        <w:rPr>
          <w:rFonts w:cs="Times New Roman"/>
          <w:szCs w:val="26"/>
          <w:lang w:val="en-US"/>
        </w:rPr>
        <w:t>SPA</w:t>
      </w:r>
      <w:r w:rsidR="002D5601">
        <w:rPr>
          <w:rFonts w:cs="Times New Roman"/>
          <w:szCs w:val="26"/>
        </w:rPr>
        <w:t>) с динамически изменяющимся контентом</w:t>
      </w:r>
      <w:r w:rsidR="00975AFF" w:rsidRPr="00975AFF">
        <w:rPr>
          <w:rFonts w:cs="Times New Roman"/>
          <w:szCs w:val="26"/>
        </w:rPr>
        <w:t>.</w:t>
      </w:r>
      <w:r w:rsidR="006E1F3A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Страница</w:t>
      </w:r>
      <w:r w:rsidR="006E1F3A">
        <w:rPr>
          <w:rFonts w:cs="Times New Roman"/>
          <w:szCs w:val="26"/>
        </w:rPr>
        <w:t xml:space="preserve"> </w:t>
      </w:r>
      <w:r w:rsidR="00687387">
        <w:rPr>
          <w:rFonts w:cs="Times New Roman"/>
          <w:szCs w:val="26"/>
        </w:rPr>
        <w:t>состоит из трех основных секций: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шапка – верхняя часть сайта, содержащая в себе логотип меню и аватар (фото) пользователя</w:t>
      </w:r>
      <w:r w:rsidR="002D5601">
        <w:rPr>
          <w:rFonts w:cs="Times New Roman"/>
          <w:szCs w:val="26"/>
        </w:rPr>
        <w:t>.</w:t>
      </w:r>
      <w:r w:rsidR="002D5601" w:rsidRPr="002D5601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Эта секция изменяется лишь в зависимости от роли авторизованного пользователя</w:t>
      </w:r>
      <w:r>
        <w:rPr>
          <w:rFonts w:cs="Times New Roman"/>
          <w:szCs w:val="26"/>
        </w:rPr>
        <w:t>;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главная секция включает в себя основной контент сайта, с которым </w:t>
      </w:r>
      <w:r w:rsidR="006E1F3A">
        <w:rPr>
          <w:rFonts w:cs="Times New Roman"/>
          <w:szCs w:val="26"/>
        </w:rPr>
        <w:t>взаимодействует</w:t>
      </w:r>
      <w:r>
        <w:rPr>
          <w:rFonts w:cs="Times New Roman"/>
          <w:szCs w:val="26"/>
        </w:rPr>
        <w:t xml:space="preserve"> пользователь. </w:t>
      </w:r>
      <w:r w:rsidR="002D5601">
        <w:rPr>
          <w:rFonts w:cs="Times New Roman"/>
          <w:szCs w:val="26"/>
        </w:rPr>
        <w:t>Контент г</w:t>
      </w:r>
      <w:r>
        <w:rPr>
          <w:rFonts w:cs="Times New Roman"/>
          <w:szCs w:val="26"/>
        </w:rPr>
        <w:t>лавн</w:t>
      </w:r>
      <w:r w:rsidR="002D5601">
        <w:rPr>
          <w:rFonts w:cs="Times New Roman"/>
          <w:szCs w:val="26"/>
        </w:rPr>
        <w:t>ой</w:t>
      </w:r>
      <w:r>
        <w:rPr>
          <w:rFonts w:cs="Times New Roman"/>
          <w:szCs w:val="26"/>
        </w:rPr>
        <w:t xml:space="preserve"> секци</w:t>
      </w:r>
      <w:r w:rsidR="002D5601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изменяется при переходе </w:t>
      </w:r>
      <w:r w:rsidR="00EE2552">
        <w:rPr>
          <w:rFonts w:cs="Times New Roman"/>
          <w:szCs w:val="26"/>
        </w:rPr>
        <w:t>по ссылкам</w:t>
      </w:r>
      <w:r>
        <w:rPr>
          <w:rFonts w:cs="Times New Roman"/>
          <w:szCs w:val="26"/>
        </w:rPr>
        <w:t xml:space="preserve"> ил</w:t>
      </w:r>
      <w:r w:rsidR="00EE2552">
        <w:rPr>
          <w:rFonts w:cs="Times New Roman"/>
          <w:szCs w:val="26"/>
        </w:rPr>
        <w:t>и при открытии всплывающих окон;</w:t>
      </w:r>
    </w:p>
    <w:p w:rsidR="00EE2552" w:rsidRDefault="00EE2552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подвал – нижняя часть сайта. Содержит копирайт – защита авторских прав в интернете. Эта секция является статичной, и не изменяется ни при каких условиях.</w:t>
      </w:r>
    </w:p>
    <w:p w:rsidR="00EE2552" w:rsidRPr="00EE2552" w:rsidRDefault="00EE2552" w:rsidP="00EE2552">
      <w:pPr>
        <w:spacing w:after="0" w:line="300" w:lineRule="auto"/>
        <w:rPr>
          <w:rFonts w:cs="Times New Roman"/>
          <w:szCs w:val="26"/>
        </w:rPr>
      </w:pPr>
    </w:p>
    <w:p w:rsidR="00687387" w:rsidRDefault="00687387" w:rsidP="006A3BE6">
      <w:pPr>
        <w:spacing w:after="0" w:line="300" w:lineRule="auto"/>
        <w:ind w:left="567"/>
        <w:rPr>
          <w:rFonts w:cs="Times New Roman"/>
          <w:szCs w:val="26"/>
        </w:rPr>
      </w:pPr>
    </w:p>
    <w:p w:rsidR="00EE2552" w:rsidRDefault="00EE2552" w:rsidP="00EE2552">
      <w:pPr>
        <w:pStyle w:val="3"/>
        <w:ind w:firstLine="567"/>
      </w:pPr>
      <w:r>
        <w:t>4.</w:t>
      </w:r>
      <w:r>
        <w:t>2</w:t>
      </w:r>
      <w:r>
        <w:t xml:space="preserve"> </w:t>
      </w:r>
      <w:r>
        <w:t>Программная</w:t>
      </w:r>
      <w:r>
        <w:t xml:space="preserve"> часть</w:t>
      </w:r>
    </w:p>
    <w:p w:rsidR="00EE2552" w:rsidRDefault="00EE2552" w:rsidP="00EE2552"/>
    <w:p w:rsidR="00EE2552" w:rsidRDefault="00745627" w:rsidP="00C93ACC">
      <w:pPr>
        <w:ind w:firstLine="567"/>
      </w:pPr>
      <w:r w:rsidRPr="00745627">
        <w:t>Пользовательский интерфейс ве</w:t>
      </w:r>
      <w:r>
        <w:t>б-</w:t>
      </w:r>
      <w:r w:rsidRPr="00745627">
        <w:t xml:space="preserve">приложения </w:t>
      </w:r>
      <w:r w:rsidR="00EE2552">
        <w:t xml:space="preserve">написан </w:t>
      </w:r>
      <w:r>
        <w:t xml:space="preserve">с </w:t>
      </w:r>
      <w:r w:rsidR="00EE2552">
        <w:t>исполь</w:t>
      </w:r>
      <w:r>
        <w:t>зованием</w:t>
      </w:r>
      <w:r w:rsidR="00EE2552">
        <w:t xml:space="preserve"> современные технологии веб-разработки:</w:t>
      </w:r>
    </w:p>
    <w:p w:rsidR="00EE2552" w:rsidRPr="00C93ACC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React</w:t>
      </w:r>
      <w:r w:rsidR="00DD6A2F">
        <w:rPr>
          <w:lang w:val="en-US"/>
        </w:rPr>
        <w:t xml:space="preserve"> </w:t>
      </w:r>
      <w:proofErr w:type="spellStart"/>
      <w:r w:rsidR="00DD6A2F">
        <w:rPr>
          <w:lang w:val="en-US"/>
        </w:rPr>
        <w:t>Js</w:t>
      </w:r>
      <w:proofErr w:type="spellEnd"/>
    </w:p>
    <w:p w:rsidR="00C93ACC" w:rsidRPr="00C93ACC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Material UI</w:t>
      </w:r>
    </w:p>
    <w:p w:rsidR="00C93ACC" w:rsidRPr="00EE2552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CSS 3 (SASS)</w:t>
      </w:r>
    </w:p>
    <w:p w:rsidR="00DD6A2F" w:rsidRDefault="00DD6A2F" w:rsidP="00DD6A2F">
      <w:pPr>
        <w:spacing w:after="0" w:line="300" w:lineRule="auto"/>
        <w:rPr>
          <w:rFonts w:cs="Times New Roman"/>
          <w:szCs w:val="26"/>
          <w:lang w:val="en-US"/>
        </w:rPr>
      </w:pPr>
    </w:p>
    <w:p w:rsidR="00DD6A2F" w:rsidRDefault="00DD6A2F" w:rsidP="00DD6A2F">
      <w:pPr>
        <w:pStyle w:val="3"/>
        <w:ind w:firstLine="567"/>
        <w:rPr>
          <w:lang w:val="en-US"/>
        </w:rPr>
      </w:pPr>
      <w:r>
        <w:t>4.2</w:t>
      </w:r>
      <w:r w:rsidRPr="00DD6A2F">
        <w:t>.</w:t>
      </w:r>
      <w:r>
        <w:rPr>
          <w:lang w:val="en-US"/>
        </w:rPr>
        <w:t>1</w:t>
      </w:r>
      <w:r>
        <w:t xml:space="preserve"> </w:t>
      </w:r>
      <w:proofErr w:type="spellStart"/>
      <w:r w:rsidR="00641E60">
        <w:rPr>
          <w:lang w:val="en-US"/>
        </w:rPr>
        <w:t>React</w:t>
      </w:r>
      <w:r>
        <w:rPr>
          <w:lang w:val="en-US"/>
        </w:rPr>
        <w:t>Js</w:t>
      </w:r>
      <w:proofErr w:type="spellEnd"/>
    </w:p>
    <w:p w:rsidR="00DD6A2F" w:rsidRDefault="00DD6A2F" w:rsidP="00DD6A2F">
      <w:pPr>
        <w:rPr>
          <w:lang w:val="en-US"/>
        </w:rPr>
      </w:pPr>
    </w:p>
    <w:p w:rsidR="00DD6A2F" w:rsidRPr="00641E60" w:rsidRDefault="00D43982" w:rsidP="00C106CC">
      <w:pPr>
        <w:ind w:firstLine="567"/>
      </w:pPr>
      <w:r>
        <w:t xml:space="preserve">Инструмент с открытым исходным кодом для создания пользовательских интерфейсов, разработанный </w:t>
      </w:r>
      <w:proofErr w:type="spellStart"/>
      <w:r w:rsidRPr="00D43982">
        <w:t>Facebook</w:t>
      </w:r>
      <w:proofErr w:type="spellEnd"/>
      <w:r>
        <w:t xml:space="preserve"> в 2013 году </w:t>
      </w:r>
      <w:r>
        <w:t>и поддерживаемый</w:t>
      </w:r>
      <w:r w:rsidR="00641E60">
        <w:t xml:space="preserve"> им</w:t>
      </w:r>
      <w:r>
        <w:t xml:space="preserve"> в настоящее время. Сейчас </w:t>
      </w:r>
      <w:proofErr w:type="spellStart"/>
      <w:r w:rsidR="00641E60">
        <w:rPr>
          <w:lang w:val="en-US"/>
        </w:rPr>
        <w:t>ReactJs</w:t>
      </w:r>
      <w:proofErr w:type="spellEnd"/>
      <w:r w:rsidR="00641E60" w:rsidRPr="00641E60">
        <w:t xml:space="preserve"> </w:t>
      </w:r>
      <w:r w:rsidR="00641E60">
        <w:t xml:space="preserve">пользуется большой </w:t>
      </w:r>
      <w:r>
        <w:t>популярность</w:t>
      </w:r>
      <w:r w:rsidR="00641E60">
        <w:t xml:space="preserve">ю благодаря своей лаконичности и легкости интеграции с существующими проектами. </w:t>
      </w:r>
      <w:proofErr w:type="spellStart"/>
      <w:proofErr w:type="gramStart"/>
      <w:r w:rsidR="00641E60">
        <w:rPr>
          <w:lang w:val="en-US"/>
        </w:rPr>
        <w:t>ReactJs</w:t>
      </w:r>
      <w:proofErr w:type="spellEnd"/>
      <w:r w:rsidR="00641E60">
        <w:t xml:space="preserve"> представляет собой полноценный </w:t>
      </w:r>
      <w:r w:rsidR="00641E60">
        <w:rPr>
          <w:lang w:val="en-US"/>
        </w:rPr>
        <w:t>View</w:t>
      </w:r>
      <w:r w:rsidR="00641E60">
        <w:t xml:space="preserve"> </w:t>
      </w:r>
      <w:r w:rsidR="00641E60">
        <w:t>модуль</w:t>
      </w:r>
      <w:r w:rsidR="00641E60" w:rsidRPr="00641E60">
        <w:t xml:space="preserve"> </w:t>
      </w:r>
      <w:r w:rsidR="00641E60">
        <w:t>(</w:t>
      </w:r>
      <w:r w:rsidR="00641E60">
        <w:t>Представление</w:t>
      </w:r>
      <w:r w:rsidR="00641E60">
        <w:t xml:space="preserve">) из </w:t>
      </w:r>
      <w:r w:rsidR="007A2932">
        <w:t>шаблона</w:t>
      </w:r>
      <w:r w:rsidR="00641E60">
        <w:t xml:space="preserve"> проектирования </w:t>
      </w:r>
      <w:r w:rsidR="00641E60">
        <w:rPr>
          <w:lang w:val="en-US"/>
        </w:rPr>
        <w:t>MVC</w:t>
      </w:r>
      <w:r w:rsidR="00641E60" w:rsidRPr="00641E60">
        <w:t xml:space="preserve"> (</w:t>
      </w:r>
      <w:r w:rsidR="00641E60">
        <w:t>Модель-Представление-Контроллер</w:t>
      </w:r>
      <w:r w:rsidR="00641E60" w:rsidRPr="00641E60">
        <w:t>)</w:t>
      </w:r>
      <w:r w:rsidR="00641E60">
        <w:t>, что подтверждает его независимость от серверной част</w:t>
      </w:r>
      <w:r w:rsidR="007A2932">
        <w:t>и</w:t>
      </w:r>
      <w:r w:rsidR="00641E60">
        <w:t xml:space="preserve"> проекта.</w:t>
      </w:r>
      <w:proofErr w:type="gramEnd"/>
    </w:p>
    <w:p w:rsidR="00225EB9" w:rsidRDefault="00D43982" w:rsidP="00DD6A2F">
      <w:pPr>
        <w:spacing w:after="0" w:line="30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6"/>
          <w:lang w:val="en-US"/>
        </w:rPr>
        <w:t>ReactJs</w:t>
      </w:r>
      <w:proofErr w:type="spellEnd"/>
      <w:r>
        <w:rPr>
          <w:rFonts w:cs="Times New Roman"/>
          <w:szCs w:val="26"/>
        </w:rPr>
        <w:t xml:space="preserve"> использует компонентный подход.</w:t>
      </w:r>
      <w:proofErr w:type="gramEnd"/>
      <w:r>
        <w:rPr>
          <w:rFonts w:cs="Times New Roman"/>
          <w:szCs w:val="26"/>
        </w:rPr>
        <w:t xml:space="preserve"> Компонент – это</w:t>
      </w:r>
      <w:r w:rsidR="00646945">
        <w:rPr>
          <w:rFonts w:cs="Times New Roman"/>
          <w:szCs w:val="26"/>
        </w:rPr>
        <w:t xml:space="preserve"> отдельная</w:t>
      </w:r>
      <w:bookmarkStart w:id="7" w:name="_GoBack"/>
      <w:bookmarkEnd w:id="7"/>
      <w:r w:rsidR="00646945">
        <w:rPr>
          <w:rFonts w:cs="Times New Roman"/>
          <w:szCs w:val="26"/>
        </w:rPr>
        <w:t xml:space="preserve"> часть интерфейса, которую</w:t>
      </w:r>
      <w:r>
        <w:rPr>
          <w:rFonts w:cs="Times New Roman"/>
          <w:szCs w:val="26"/>
        </w:rPr>
        <w:t xml:space="preserve"> можно </w:t>
      </w:r>
      <w:proofErr w:type="spellStart"/>
      <w:r>
        <w:rPr>
          <w:rFonts w:cs="Times New Roman"/>
          <w:szCs w:val="26"/>
        </w:rPr>
        <w:t>переиспользовать</w:t>
      </w:r>
      <w:proofErr w:type="spellEnd"/>
      <w:r>
        <w:rPr>
          <w:rFonts w:cs="Times New Roman"/>
          <w:szCs w:val="26"/>
        </w:rPr>
        <w:t xml:space="preserve">, наследовать, компоновать. </w:t>
      </w:r>
      <w:r w:rsidR="00C56E86">
        <w:rPr>
          <w:rFonts w:cs="Times New Roman"/>
          <w:szCs w:val="26"/>
        </w:rPr>
        <w:br w:type="page"/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225EB9" w:rsidRPr="0064423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t>ОХРАНА ТРУДА</w:t>
      </w:r>
    </w:p>
    <w:p w:rsidR="00225EB9" w:rsidRPr="00644239" w:rsidRDefault="00225EB9" w:rsidP="006A3BE6">
      <w:pPr>
        <w:spacing w:after="0" w:line="30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225EB9" w:rsidRPr="00225EB9" w:rsidRDefault="00225EB9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Cs/>
          <w:szCs w:val="26"/>
        </w:rPr>
      </w:pPr>
      <w:bookmarkStart w:id="8" w:name="_Toc8674110"/>
      <w:r w:rsidRPr="00225EB9">
        <w:rPr>
          <w:rFonts w:eastAsia="Times New Roman" w:cs="Times New Roman"/>
          <w:b/>
          <w:bCs/>
          <w:i/>
          <w:szCs w:val="26"/>
        </w:rPr>
        <w:t>5.1   Производственная санитария, техника безопасности и пожарная профилактика</w:t>
      </w:r>
      <w:bookmarkEnd w:id="8"/>
    </w:p>
    <w:p w:rsidR="00225EB9" w:rsidRPr="00755E85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 защиты от 24.12.2013 № 130.</w:t>
      </w: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r w:rsidRPr="00755E85">
        <w:rPr>
          <w:sz w:val="26"/>
          <w:szCs w:val="26"/>
          <w:vertAlign w:val="superscript"/>
        </w:rPr>
        <w:t>2</w:t>
      </w:r>
      <w:r w:rsidRPr="00755E85">
        <w:rPr>
          <w:sz w:val="26"/>
          <w:szCs w:val="26"/>
        </w:rPr>
        <w:t>.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F8344D" w:rsidRDefault="00F8344D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225EB9" w:rsidRDefault="00225EB9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225EB9" w:rsidRPr="00755E85" w:rsidRDefault="00225EB9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м/с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согласно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400-760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760-1050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свыше 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0,05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4,0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5.1.2  Вентиляция и отопление</w:t>
      </w: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lastRenderedPageBreak/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225EB9" w:rsidRPr="007F6218" w:rsidRDefault="00225EB9" w:rsidP="006A3BE6">
      <w:pPr>
        <w:spacing w:after="0" w:line="300" w:lineRule="auto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225EB9" w:rsidRPr="007F6218" w:rsidTr="00CF3595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</w:t>
      </w:r>
      <w:r w:rsidRPr="007F6218">
        <w:rPr>
          <w:szCs w:val="26"/>
        </w:rPr>
        <w:lastRenderedPageBreak/>
        <w:t>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225EB9" w:rsidRPr="007F6218" w:rsidRDefault="00225EB9" w:rsidP="006A3BE6">
      <w:pPr>
        <w:shd w:val="clear" w:color="auto" w:fill="FFFFFF"/>
        <w:tabs>
          <w:tab w:val="left" w:pos="126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225EB9" w:rsidRPr="007F6218" w:rsidTr="00CF359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со среднегеометрическими частотами, Гц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225EB9" w:rsidRPr="007F6218" w:rsidTr="00CF359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lastRenderedPageBreak/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022F4B" w:rsidRPr="001B5988" w:rsidRDefault="00022F4B" w:rsidP="006A3BE6">
      <w:pPr>
        <w:pStyle w:val="Style3"/>
        <w:widowControl/>
        <w:spacing w:line="300" w:lineRule="auto"/>
        <w:ind w:firstLine="567"/>
        <w:rPr>
          <w:rStyle w:val="FontStyle16"/>
          <w:b/>
          <w:lang w:val="en-US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5.1.5 Электробезопасность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225EB9" w:rsidRPr="00FA4F2E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Pr="007F621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32"/>
        <w:spacing w:after="0"/>
        <w:ind w:left="0"/>
        <w:jc w:val="both"/>
        <w:rPr>
          <w:b/>
          <w:sz w:val="26"/>
          <w:szCs w:val="26"/>
        </w:rPr>
      </w:pPr>
    </w:p>
    <w:tbl>
      <w:tblPr>
        <w:tblW w:w="9653" w:type="dxa"/>
        <w:jc w:val="center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979"/>
        <w:gridCol w:w="4125"/>
      </w:tblGrid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225EB9" w:rsidRDefault="00225EB9" w:rsidP="006A3BE6">
      <w:pPr>
        <w:spacing w:line="300" w:lineRule="auto"/>
        <w:ind w:firstLine="709"/>
        <w:jc w:val="center"/>
        <w:rPr>
          <w:sz w:val="28"/>
          <w:szCs w:val="28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225EB9" w:rsidRDefault="00225EB9" w:rsidP="006A3BE6">
      <w:pPr>
        <w:spacing w:after="0" w:line="300" w:lineRule="auto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225EB9" w:rsidRPr="00FA4F2E" w:rsidTr="00CF3595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225EB9" w:rsidRPr="00FA4F2E" w:rsidTr="00CF3595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 В/м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Default="00225EB9" w:rsidP="006A3BE6">
      <w:pPr>
        <w:spacing w:after="0" w:line="300" w:lineRule="auto"/>
        <w:rPr>
          <w:i/>
          <w:sz w:val="22"/>
          <w:lang w:val="en-US"/>
        </w:rPr>
      </w:pPr>
    </w:p>
    <w:p w:rsidR="00225EB9" w:rsidRPr="00C86B3A" w:rsidRDefault="00225EB9" w:rsidP="006A3BE6">
      <w:pPr>
        <w:spacing w:after="0" w:line="300" w:lineRule="auto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225EB9" w:rsidRPr="00C86B3A" w:rsidRDefault="00225EB9" w:rsidP="006A3BE6">
      <w:pPr>
        <w:spacing w:after="0" w:line="300" w:lineRule="auto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Pr="00FA4F2E" w:rsidRDefault="00225EB9" w:rsidP="006A3BE6">
      <w:pPr>
        <w:tabs>
          <w:tab w:val="left" w:pos="1418"/>
        </w:tabs>
        <w:spacing w:after="0" w:line="300" w:lineRule="auto"/>
        <w:rPr>
          <w:szCs w:val="2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lastRenderedPageBreak/>
        <w:t>5.1.7 Пожарная безопасность</w:t>
      </w: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По взрывопожарной и пожарной опасности помещения и здания для ЭВМ относятся к категории Д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ind w:left="504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225EB9" w:rsidRPr="00845A09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CF3595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  <w:bookmarkStart w:id="9" w:name="_Toc8674111"/>
      <w:r w:rsidRPr="00CF3595">
        <w:rPr>
          <w:rFonts w:eastAsia="Times New Roman" w:cs="Times New Roman"/>
          <w:b/>
          <w:bCs/>
          <w:i/>
          <w:szCs w:val="26"/>
        </w:rPr>
        <w:lastRenderedPageBreak/>
        <w:t xml:space="preserve">5.2 </w:t>
      </w:r>
      <w:bookmarkEnd w:id="9"/>
      <w:r w:rsidRPr="00CF3595">
        <w:rPr>
          <w:rFonts w:eastAsia="Times New Roman" w:cs="Times New Roman"/>
          <w:b/>
          <w:bCs/>
          <w:i/>
          <w:szCs w:val="26"/>
        </w:rPr>
        <w:t>Требования к ВДТ, ЭВМ, ПЭВМ и периферийным устройствам</w:t>
      </w: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Уровни физических факторов (уровни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излучений), создаваемые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 xml:space="preserve">периферийными устройствами, не превышают предельно-допустимые уровни, установленных Гигиеническим нормативом «Предельно-допустимые уровни нормируемых параметров при работе с </w:t>
      </w:r>
      <w:proofErr w:type="spellStart"/>
      <w:r w:rsidRPr="00CF3595">
        <w:rPr>
          <w:szCs w:val="26"/>
        </w:rPr>
        <w:t>видеодисплейными</w:t>
      </w:r>
      <w:proofErr w:type="spellEnd"/>
      <w:r w:rsidRPr="00CF3595">
        <w:rPr>
          <w:szCs w:val="26"/>
        </w:rPr>
        <w:t xml:space="preserve"> терминалами и электронно-вычислительными машинами».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Уровни шума, создаваемые</w:t>
      </w:r>
      <w:r w:rsidR="00845A09">
        <w:rPr>
          <w:szCs w:val="26"/>
        </w:rPr>
        <w:t xml:space="preserve">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 допустимых уровней, предусмотренных Гигиеническим нормативом, и устанавливаются в зависимости от следующих категорий производимых работ (табл. 5.4):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</w:t>
      </w:r>
      <w:r w:rsidRPr="00022F4B">
        <w:rPr>
          <w:szCs w:val="26"/>
        </w:rPr>
        <w:t xml:space="preserve"> – выполнение основной работы в залах вычислительной техники, а также в помещениях с ПЭВМ всех типов учреждений образования;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</w:t>
      </w:r>
      <w:r w:rsidRPr="00022F4B">
        <w:rPr>
          <w:szCs w:val="26"/>
        </w:rPr>
        <w:t xml:space="preserve"> – выполнение работы с ПЭВМ в помещениях, где работают инженерно-технические работники, осуществляющие лабораторный, аналитический или измерительный контроль;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III</w:t>
      </w:r>
      <w:r w:rsidRPr="00022F4B">
        <w:rPr>
          <w:szCs w:val="26"/>
        </w:rPr>
        <w:t xml:space="preserve"> – выполнение работы в помещениях операторов ЭВМ (без дисплеев);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tabs>
          <w:tab w:val="left" w:pos="1260"/>
          <w:tab w:val="left" w:pos="1440"/>
        </w:tabs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IV</w:t>
      </w:r>
      <w:r w:rsidRPr="00022F4B">
        <w:rPr>
          <w:szCs w:val="26"/>
        </w:rPr>
        <w:t xml:space="preserve"> – выполнение работы с ПЭВМ в помещениях для размещения шумных агрегатов.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В производственных помещениях, в которых работа с ПЭВМ является вспомогательной, уровни шума на рабочих местах не</w:t>
      </w:r>
      <w:r w:rsidR="00845A09">
        <w:rPr>
          <w:szCs w:val="26"/>
        </w:rPr>
        <w:t xml:space="preserve"> </w:t>
      </w:r>
      <w:r w:rsidRPr="00CF3595">
        <w:rPr>
          <w:szCs w:val="26"/>
        </w:rPr>
        <w:t>превышают значений, установленных для видов трудовой деятельности, осуществляемых в этих помещениях, в соответствии с Санитарными нормами и правилами, устанавливающими ПДУ шума на рабочих местах, в помещениях жилых и общественных зданий.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Допустимые визуальные эргономические параметры устройств отображения </w:t>
      </w:r>
      <w:r w:rsidRPr="00CF3595">
        <w:rPr>
          <w:color w:val="000000"/>
          <w:szCs w:val="26"/>
        </w:rPr>
        <w:t>ВДТ, ЭВМ и ПЭВМ</w:t>
      </w:r>
      <w:r w:rsidRPr="00CF3595">
        <w:rPr>
          <w:szCs w:val="26"/>
        </w:rPr>
        <w:t xml:space="preserve"> соответствуют допустимым значениям, установленным Гигиеническим нормативом.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Конструкция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 обеспечивает возможность поворота корпуса в горизонтальной и вертикальной </w:t>
      </w:r>
      <w:r w:rsidRPr="00CF3595">
        <w:rPr>
          <w:szCs w:val="26"/>
        </w:rPr>
        <w:lastRenderedPageBreak/>
        <w:t>плоскости с фиксацией в заданном положении для обеспечения фронтального наблюдения экрана.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Дизайн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 xml:space="preserve">периферийных устройств должен предусматривать окраску корпуса в спокойные мягкие тона с диффузным рассеиванием света. Корпус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>периферийных устройств имеет матовую поверхность с коэффициентом отражения 0,4-0,6 и не имеет блестящих деталей, способных создавать блики.</w:t>
      </w:r>
    </w:p>
    <w:p w:rsidR="00CF3595" w:rsidRPr="00C86B3A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Default="00225EB9" w:rsidP="006A3BE6">
      <w:pPr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C56E86" w:rsidRPr="00644239" w:rsidRDefault="00C56E86" w:rsidP="006A3BE6">
      <w:pPr>
        <w:keepNext/>
        <w:spacing w:after="0" w:line="300" w:lineRule="auto"/>
        <w:ind w:firstLine="567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C56E86" w:rsidRPr="00644239" w:rsidRDefault="00C56E86" w:rsidP="006A3BE6">
      <w:pPr>
        <w:spacing w:after="0" w:line="300" w:lineRule="auto"/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56E86" w:rsidRPr="00644239" w:rsidTr="00216346">
        <w:trPr>
          <w:trHeight w:val="70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м1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C56E86" w:rsidRPr="00644239" w:rsidTr="00216346">
        <w:trPr>
          <w:trHeight w:val="109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56E86" w:rsidRPr="00644239" w:rsidTr="00216346">
        <w:trPr>
          <w:trHeight w:val="834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102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56E86" w:rsidRPr="00644239" w:rsidTr="00216346">
        <w:trPr>
          <w:trHeight w:val="71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76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56E86" w:rsidRPr="00644239" w:rsidTr="00216346">
        <w:trPr>
          <w:trHeight w:val="807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C56E86" w:rsidRPr="00644239" w:rsidTr="00216346">
        <w:trPr>
          <w:trHeight w:val="861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местный и республиканский бюджеты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C56E86" w:rsidRPr="00644239" w:rsidTr="00216346">
        <w:trPr>
          <w:trHeight w:val="40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841"/>
          <w:tblHeader/>
        </w:trPr>
        <w:tc>
          <w:tcPr>
            <w:tcW w:w="567" w:type="dxa"/>
          </w:tcPr>
          <w:p w:rsidR="00C56E86" w:rsidRPr="00644239" w:rsidRDefault="001B5988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D069B" wp14:editId="37734BD0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-323215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87387" w:rsidRPr="00C56E86" w:rsidRDefault="00687387" w:rsidP="00C56E86">
                                  <w:pPr>
                                    <w:rPr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Продолжение таблицы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9.8pt;margin-top:-25.45pt;width:18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" fillcolor="window" stroked="f" strokeweight=".5pt">
                      <v:path arrowok="t"/>
                      <v:textbox>
                        <w:txbxContent>
                          <w:p w:rsidR="00687387" w:rsidRPr="00C56E86" w:rsidRDefault="00687387" w:rsidP="00C56E86">
                            <w:pPr>
                              <w:rPr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Cs w:val="26"/>
                              </w:rPr>
                              <w:t>Продолжение таблицы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E86"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C56E86" w:rsidRPr="00644239" w:rsidTr="00216346">
        <w:trPr>
          <w:trHeight w:val="84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rHeight w:val="119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56E86" w:rsidRPr="00644239" w:rsidTr="00216346">
        <w:trPr>
          <w:trHeight w:val="7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C56E86" w:rsidRPr="00644239" w:rsidTr="00216346">
        <w:trPr>
          <w:trHeight w:val="55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56E86" w:rsidRPr="00644239" w:rsidTr="00216346">
        <w:trPr>
          <w:trHeight w:val="51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C56E86" w:rsidRPr="00644239" w:rsidTr="00216346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C56E86" w:rsidRPr="00644239" w:rsidRDefault="00C56E86" w:rsidP="006A3B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каталогу функций определяется объем функций. Общий объем программного средства рассчитывается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 fillcolor="window">
            <v:imagedata r:id="rId11" o:title=""/>
          </v:shape>
          <o:OLEObject Type="Embed" ProgID="Equation.3" ShapeID="_x0000_i1025" DrawAspect="Content" ObjectID="_1619531605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4678"/>
        <w:gridCol w:w="3260"/>
      </w:tblGrid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6E86" w:rsidRPr="00644239" w:rsidTr="00022F4B">
        <w:trPr>
          <w:trHeight w:val="4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</w:t>
      </w:r>
      <w:r w:rsidRPr="00644239">
        <w:rPr>
          <w:rFonts w:eastAsia="Times New Roman" w:cs="Times New Roman"/>
          <w:szCs w:val="26"/>
          <w:lang w:eastAsia="ru-RU"/>
        </w:rPr>
        <w:lastRenderedPageBreak/>
        <w:t>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pt;height:18.75pt" o:ole="" fillcolor="window">
            <v:imagedata r:id="rId13" o:title=""/>
          </v:shape>
          <o:OLEObject Type="Embed" ProgID="Equation.3" ShapeID="_x0000_i1026" DrawAspect="Content" ObjectID="_1619531606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pt;height:45pt" o:ole="" fillcolor="window">
            <v:imagedata r:id="rId15" o:title=""/>
          </v:shape>
          <o:OLEObject Type="Embed" ProgID="Equation.3" ShapeID="_x0000_i1027" DrawAspect="Content" ObjectID="_1619531607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5pt;height:18.75pt" o:ole="" fillcolor="window">
            <v:imagedata r:id="rId17" o:title=""/>
          </v:shape>
          <o:OLEObject Type="Embed" ProgID="Equation.3" ShapeID="_x0000_i1028" DrawAspect="Content" ObjectID="_1619531608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=0,08, 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C56E86" w:rsidRPr="00644239" w:rsidRDefault="00C56E86" w:rsidP="006A3BE6">
      <w:pPr>
        <w:tabs>
          <w:tab w:val="left" w:pos="3969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отпуска, день.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1.75pt;height:45pt" o:ole="" fillcolor="window">
            <v:imagedata r:id="rId19" o:title=""/>
          </v:shape>
          <o:OLEObject Type="Embed" ProgID="Equation.3" ShapeID="_x0000_i1029" DrawAspect="Content" ObjectID="_1619531609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 также срок разработки ПС при количестве разработчиков на всех стадиях разработки ПС равным 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7.75pt;height:42pt" o:ole="" fillcolor="window">
            <v:imagedata r:id="rId21" o:title=""/>
          </v:shape>
          <o:OLEObject Type="Embed" ProgID="Equation.3" ShapeID="_x0000_i1030" DrawAspect="Content" ObjectID="_1619531610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Основная заработная плата исполнителей на конкретное ПС рассчитывается по формуле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pt;height:45pt" o:ole="" fillcolor="window">
            <v:imagedata r:id="rId23" o:title=""/>
          </v:shape>
          <o:OLEObject Type="Embed" ProgID="Equation.3" ShapeID="_x0000_i1031" DrawAspect="Content" ObjectID="_1619531611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конкретного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 – коэффициент премирования.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Дополнительная заработная плата на конкретное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25pt;height:36.75pt" o:ole="" fillcolor="window">
            <v:imagedata r:id="rId25" o:title=""/>
          </v:shape>
          <o:OLEObject Type="Embed" ProgID="Equation.3" ShapeID="_x0000_i1032" DrawAspect="Content" ObjectID="_1619531612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дополнительная заработная плата исполнителей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75pt" o:ole="" fillcolor="window">
            <v:imagedata r:id="rId27" o:title=""/>
          </v:shape>
          <o:OLEObject Type="Embed" ProgID="Equation.3" ShapeID="_x0000_i1033" DrawAspect="Content" ObjectID="_1619531613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25pt;height:36.75pt" o:ole="" fillcolor="window">
            <v:imagedata r:id="rId29" o:title=""/>
          </v:shape>
          <o:OLEObject Type="Embed" ProgID="Equation.3" ShapeID="_x0000_i1034" DrawAspect="Content" ObjectID="_1619531614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531615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8pt;height:45pt" o:ole="" fillcolor="window">
            <v:imagedata r:id="rId33" o:title=""/>
          </v:shape>
          <o:OLEObject Type="Embed" ProgID="Equation.3" ShapeID="_x0000_i1036" DrawAspect="Content" ObjectID="_1619531616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5pt;height:36pt" o:ole="" fillcolor="window">
            <v:imagedata r:id="rId35" o:title=""/>
          </v:shape>
          <o:OLEObject Type="Embed" ProgID="Equation.3" ShapeID="_x0000_i1037" DrawAspect="Content" ObjectID="_1619531617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25pt" o:ole="" fillcolor="window">
            <v:imagedata r:id="rId37" o:title=""/>
          </v:shape>
          <o:OLEObject Type="Embed" ProgID="Equation.3" ShapeID="_x0000_i1038" DrawAspect="Content" ObjectID="_1619531618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D3791B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C56E86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75pt;height:36pt" o:ole="" fillcolor="window">
            <v:imagedata r:id="rId39" o:title=""/>
          </v:shape>
          <o:OLEObject Type="Embed" ProgID="Equation.3" ShapeID="_x0000_i1039" DrawAspect="Content" ObjectID="_1619531619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относятся на конкретное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75pt;height:38.25pt" o:ole="" fillcolor="window">
            <v:imagedata r:id="rId41" o:title=""/>
          </v:shape>
          <o:OLEObject Type="Embed" ProgID="Equation.3" ShapeID="_x0000_i1040" DrawAspect="Content" ObjectID="_1619531620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1B5988" w:rsidRDefault="001B5988" w:rsidP="006A3BE6">
      <w:pPr>
        <w:spacing w:line="300" w:lineRule="auto"/>
        <w:rPr>
          <w:rFonts w:eastAsia="Times New Roman" w:cs="Times New Roman"/>
          <w:b/>
          <w:i/>
          <w:szCs w:val="26"/>
          <w:lang w:eastAsia="ru-RU"/>
        </w:rPr>
      </w:pPr>
      <w:r>
        <w:rPr>
          <w:rFonts w:eastAsia="Times New Roman" w:cs="Times New Roman"/>
          <w:b/>
          <w:i/>
          <w:szCs w:val="26"/>
          <w:lang w:eastAsia="ru-RU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6.1.14   Расчет общей суммы расходов на разработку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pt;height:21pt" o:ole="" fillcolor="window">
            <v:imagedata r:id="rId43" o:title=""/>
          </v:shape>
          <o:OLEObject Type="Embed" ProgID="Equation.3" ShapeID="_x0000_i1041" DrawAspect="Content" ObjectID="_1619531621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75pt;height:38.25pt" o:ole="" fillcolor="window">
            <v:imagedata r:id="rId45" o:title=""/>
          </v:shape>
          <o:OLEObject Type="Embed" ProgID="Equation.3" ShapeID="_x0000_i1042" DrawAspect="Content" ObjectID="_1619531622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75pt;height:21.75pt" o:ole="" fillcolor="window">
            <v:imagedata r:id="rId47" o:title=""/>
          </v:shape>
          <o:OLEObject Type="Embed" ProgID="Equation.3" ShapeID="_x0000_i1043" DrawAspect="Content" ObjectID="_1619531623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Рентабельность и прибыль по создаваемому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75pt;height:37.5pt" o:ole="" fillcolor="window">
            <v:imagedata r:id="rId49" o:title=""/>
          </v:shape>
          <o:OLEObject Type="Embed" ProgID="Equation.3" ShapeID="_x0000_i1044" DrawAspect="Content" ObjectID="_1619531624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ПС, %;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75pt;height:18.75pt" o:ole="">
            <v:imagedata r:id="rId51" o:title=""/>
          </v:shape>
          <o:OLEObject Type="Embed" ProgID="Equation.3" ShapeID="_x0000_i1045" DrawAspect="Content" ObjectID="_1619531625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687387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5D304CCB" wp14:editId="20FEE69C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C56E86" w:rsidRPr="00644239" w:rsidRDefault="00687387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местный и республиканский бюджеты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25pt;height:37.5pt" o:ole="">
            <v:imagedata r:id="rId54" o:title=""/>
          </v:shape>
          <o:OLEObject Type="Embed" ProgID="Equation.3" ShapeID="_x0000_i1046" DrawAspect="Content" ObjectID="_1619531626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5pt;height:21pt" o:ole="">
            <v:imagedata r:id="rId56" o:title=""/>
          </v:shape>
          <o:OLEObject Type="Embed" ProgID="Equation.3" ShapeID="_x0000_i1047" DrawAspect="Content" ObjectID="_1619531627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C56E86" w:rsidRPr="00644239" w:rsidRDefault="00C56E86" w:rsidP="006A3BE6">
      <w:pPr>
        <w:suppressAutoHyphens/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>.</w:t>
      </w: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417"/>
        <w:gridCol w:w="1560"/>
        <w:gridCol w:w="1275"/>
      </w:tblGrid>
      <w:tr w:rsidR="00C56E86" w:rsidRPr="00644239" w:rsidTr="00022F4B">
        <w:trPr>
          <w:cantSplit/>
          <w:tblHeader/>
        </w:trPr>
        <w:tc>
          <w:tcPr>
            <w:tcW w:w="3544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C56E86" w:rsidRPr="00644239" w:rsidRDefault="00C56E86" w:rsidP="006A3BE6">
            <w:pPr>
              <w:keepNext/>
              <w:spacing w:after="0" w:line="300" w:lineRule="auto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C56E86" w:rsidRPr="00644239" w:rsidTr="00022F4B">
        <w:trPr>
          <w:cantSplit/>
          <w:tblHeader/>
        </w:trPr>
        <w:tc>
          <w:tcPr>
            <w:tcW w:w="3544" w:type="dxa"/>
            <w:vMerge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средств в связи с использованием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C56E86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C56E86" w:rsidRPr="00644239" w:rsidRDefault="00687387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25pt;height:42pt" o:ole="">
            <v:imagedata r:id="rId58" o:title=""/>
          </v:shape>
          <o:OLEObject Type="Embed" ProgID="Equation.3" ShapeID="_x0000_i1048" DrawAspect="Content" ObjectID="_1619531628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с1</w:t>
      </w:r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tabs>
          <w:tab w:val="left" w:pos="1785"/>
        </w:tabs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C56E86" w:rsidRPr="00644239" w:rsidRDefault="00C56E86" w:rsidP="006A3BE6">
      <w:pPr>
        <w:tabs>
          <w:tab w:val="left" w:pos="1785"/>
        </w:tabs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75pt;height:18.75pt" o:ole="">
            <v:imagedata r:id="rId60" o:title=""/>
          </v:shape>
          <o:OLEObject Type="Embed" ProgID="Equation.3" ShapeID="_x0000_i1049" DrawAspect="Content" ObjectID="_1619531629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т2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75pt;height:18.75pt" o:ole="">
            <v:imagedata r:id="rId62" o:title=""/>
          </v:shape>
          <o:OLEObject Type="Embed" ProgID="Equation.3" ShapeID="_x0000_i1050" DrawAspect="Content" ObjectID="_1619531630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25pt;height:18.75pt" o:ole="">
            <v:imagedata r:id="rId64" o:title=""/>
          </v:shape>
          <o:OLEObject Type="Embed" ProgID="Equation.3" ShapeID="_x0000_i1051" DrawAspect="Content" ObjectID="_1619531631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в1</w:t>
      </w:r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75pt" o:ole="">
            <v:imagedata r:id="rId66" o:title=""/>
          </v:shape>
          <o:OLEObject Type="Embed" ProgID="Equation.3" ShapeID="_x0000_i1052" DrawAspect="Content" ObjectID="_1619531632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75pt;height:18.75pt" o:ole="">
            <v:imagedata r:id="rId68" o:title=""/>
          </v:shape>
          <o:OLEObject Type="Embed" ProgID="Equation.3" ShapeID="_x0000_i1053" DrawAspect="Content" ObjectID="_1619531633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75pt;height:18.75pt" o:ole="">
            <v:imagedata r:id="rId70" o:title=""/>
          </v:shape>
          <o:OLEObject Type="Embed" ProgID="Equation.3" ShapeID="_x0000_i1054" DrawAspect="Content" ObjectID="_1619531634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531635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687387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25pt;height:21.75pt" o:ole="">
            <v:imagedata r:id="rId74" o:title=""/>
          </v:shape>
          <o:OLEObject Type="Embed" ProgID="Equation.3" ShapeID="_x0000_i1056" DrawAspect="Content" ObjectID="_1619531636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для программных средств ВТ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5pt;height:21.75pt" o:ole="">
            <v:imagedata r:id="rId76" o:title=""/>
          </v:shape>
          <o:OLEObject Type="Embed" ProgID="Equation.3" ShapeID="_x0000_i1057" DrawAspect="Content" ObjectID="_1619531637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25pt;height:21.75pt" o:ole="">
            <v:imagedata r:id="rId78" o:title=""/>
          </v:shape>
          <o:OLEObject Type="Embed" ProgID="Equation.3" ShapeID="_x0000_i1058" DrawAspect="Content" ObjectID="_1619531638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1.75pt" o:ole="">
            <v:imagedata r:id="rId80" o:title=""/>
          </v:shape>
          <o:OLEObject Type="Embed" ProgID="Equation.3" ShapeID="_x0000_i1059" DrawAspect="Content" ObjectID="_1619531639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25pt;height:21.75pt" o:ole="">
            <v:imagedata r:id="rId82" o:title=""/>
          </v:shape>
          <o:OLEObject Type="Embed" ProgID="Equation.3" ShapeID="_x0000_i1060" DrawAspect="Content" ObjectID="_1619531640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D84CA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</w:t>
      </w:r>
      <w:r w:rsidR="00D84CA9">
        <w:rPr>
          <w:rFonts w:eastAsia="Times New Roman" w:cs="Times New Roman"/>
          <w:szCs w:val="26"/>
          <w:lang w:eastAsia="ru-RU"/>
        </w:rPr>
        <w:t xml:space="preserve"> эффекта сведены в таблицу 6.4.</w:t>
      </w:r>
    </w:p>
    <w:p w:rsidR="00C56E86" w:rsidRPr="00644239" w:rsidRDefault="00C56E86" w:rsidP="006A3BE6">
      <w:pPr>
        <w:spacing w:after="0" w:line="300" w:lineRule="auto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76"/>
        <w:gridCol w:w="1276"/>
        <w:gridCol w:w="1276"/>
        <w:gridCol w:w="1275"/>
      </w:tblGrid>
      <w:tr w:rsidR="00C56E86" w:rsidRPr="00644239" w:rsidTr="00022F4B"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C56E86" w:rsidRPr="00644239" w:rsidTr="00022F4B">
        <w:trPr>
          <w:trHeight w:val="37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78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C56E86" w:rsidRPr="00644239" w:rsidTr="00022F4B">
        <w:trPr>
          <w:trHeight w:val="450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3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Доукомплектование ВТ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rPr>
          <w:trHeight w:val="54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C56E86" w:rsidRPr="00644239" w:rsidTr="00022F4B">
        <w:trPr>
          <w:trHeight w:val="79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0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C56E86" w:rsidRPr="0091762C" w:rsidRDefault="00022F4B" w:rsidP="006A3BE6">
      <w:pPr>
        <w:tabs>
          <w:tab w:val="left" w:pos="4005"/>
        </w:tabs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720109" w:rsidRPr="00720109" w:rsidRDefault="00720109" w:rsidP="006A3BE6">
      <w:pPr>
        <w:spacing w:line="300" w:lineRule="auto"/>
        <w:rPr>
          <w:rFonts w:cs="Times New Roman"/>
          <w:szCs w:val="26"/>
        </w:rPr>
      </w:pPr>
    </w:p>
    <w:sectPr w:rsidR="00720109" w:rsidRPr="00720109" w:rsidSect="00762F74">
      <w:headerReference w:type="default" r:id="rId84"/>
      <w:footerReference w:type="default" r:id="rId8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F4" w:rsidRDefault="002E62F4" w:rsidP="00574BB4">
      <w:pPr>
        <w:spacing w:after="0" w:line="240" w:lineRule="auto"/>
      </w:pPr>
      <w:r>
        <w:separator/>
      </w:r>
    </w:p>
  </w:endnote>
  <w:endnote w:type="continuationSeparator" w:id="0">
    <w:p w:rsidR="002E62F4" w:rsidRDefault="002E62F4" w:rsidP="0057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6CC" w:rsidRDefault="00C106CC" w:rsidP="00C106CC">
    <w:pPr>
      <w:pStyle w:val="a7"/>
      <w:tabs>
        <w:tab w:val="clear" w:pos="4677"/>
        <w:tab w:val="clear" w:pos="9355"/>
        <w:tab w:val="left" w:pos="73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F4" w:rsidRDefault="002E62F4" w:rsidP="00574BB4">
      <w:pPr>
        <w:spacing w:after="0" w:line="240" w:lineRule="auto"/>
      </w:pPr>
      <w:r>
        <w:separator/>
      </w:r>
    </w:p>
  </w:footnote>
  <w:footnote w:type="continuationSeparator" w:id="0">
    <w:p w:rsidR="002E62F4" w:rsidRDefault="002E62F4" w:rsidP="0057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7127431"/>
      <w:docPartObj>
        <w:docPartGallery w:val="Page Numbers (Top of Page)"/>
        <w:docPartUnique/>
      </w:docPartObj>
    </w:sdtPr>
    <w:sdtContent>
      <w:p w:rsidR="00687387" w:rsidRDefault="006873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945">
          <w:rPr>
            <w:noProof/>
          </w:rPr>
          <w:t>12</w:t>
        </w:r>
        <w:r>
          <w:fldChar w:fldCharType="end"/>
        </w:r>
      </w:p>
    </w:sdtContent>
  </w:sdt>
  <w:p w:rsidR="00687387" w:rsidRDefault="006873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A84"/>
    <w:multiLevelType w:val="hybridMultilevel"/>
    <w:tmpl w:val="7C34666C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551D97"/>
    <w:multiLevelType w:val="hybridMultilevel"/>
    <w:tmpl w:val="ABDA4B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1E0605"/>
    <w:multiLevelType w:val="hybridMultilevel"/>
    <w:tmpl w:val="555E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F68C4"/>
    <w:multiLevelType w:val="hybridMultilevel"/>
    <w:tmpl w:val="C976272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174FEA"/>
    <w:multiLevelType w:val="hybridMultilevel"/>
    <w:tmpl w:val="7C4857B4"/>
    <w:lvl w:ilvl="0" w:tplc="FAC032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3857CA"/>
    <w:multiLevelType w:val="hybridMultilevel"/>
    <w:tmpl w:val="57EA1B1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8C24B4B"/>
    <w:multiLevelType w:val="hybridMultilevel"/>
    <w:tmpl w:val="BB240DFE"/>
    <w:lvl w:ilvl="0" w:tplc="023023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BCE0790"/>
    <w:multiLevelType w:val="hybridMultilevel"/>
    <w:tmpl w:val="81B46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55F7A"/>
    <w:multiLevelType w:val="hybridMultilevel"/>
    <w:tmpl w:val="20E2EE4A"/>
    <w:lvl w:ilvl="0" w:tplc="04190011">
      <w:start w:val="1"/>
      <w:numFmt w:val="decimal"/>
      <w:lvlText w:val="%1)"/>
      <w:lvlJc w:val="left"/>
      <w:pPr>
        <w:tabs>
          <w:tab w:val="num" w:pos="2007"/>
        </w:tabs>
        <w:ind w:left="198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300A87"/>
    <w:multiLevelType w:val="hybridMultilevel"/>
    <w:tmpl w:val="38CEBB7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975383C"/>
    <w:multiLevelType w:val="hybridMultilevel"/>
    <w:tmpl w:val="4B763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420A4"/>
    <w:multiLevelType w:val="hybridMultilevel"/>
    <w:tmpl w:val="F29CD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D4880"/>
    <w:multiLevelType w:val="hybridMultilevel"/>
    <w:tmpl w:val="21BA293E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6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F183FE5"/>
    <w:multiLevelType w:val="hybridMultilevel"/>
    <w:tmpl w:val="004E2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D70DA"/>
    <w:multiLevelType w:val="hybridMultilevel"/>
    <w:tmpl w:val="428452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8E94D8C"/>
    <w:multiLevelType w:val="hybridMultilevel"/>
    <w:tmpl w:val="7D049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8"/>
  </w:num>
  <w:num w:numId="5">
    <w:abstractNumId w:val="16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17"/>
    <w:lvlOverride w:ilvl="0">
      <w:startOverride w:val="1"/>
    </w:lvlOverride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  <w:num w:numId="16">
    <w:abstractNumId w:val="10"/>
  </w:num>
  <w:num w:numId="17">
    <w:abstractNumId w:val="7"/>
  </w:num>
  <w:num w:numId="18">
    <w:abstractNumId w:val="8"/>
  </w:num>
  <w:num w:numId="1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12"/>
    <w:rsid w:val="00022F4B"/>
    <w:rsid w:val="00074033"/>
    <w:rsid w:val="000D1226"/>
    <w:rsid w:val="00135EDF"/>
    <w:rsid w:val="00173173"/>
    <w:rsid w:val="001B5988"/>
    <w:rsid w:val="00216346"/>
    <w:rsid w:val="002210E0"/>
    <w:rsid w:val="00225E3F"/>
    <w:rsid w:val="00225EB9"/>
    <w:rsid w:val="0024606C"/>
    <w:rsid w:val="00275B6D"/>
    <w:rsid w:val="00295059"/>
    <w:rsid w:val="002963A0"/>
    <w:rsid w:val="002D5601"/>
    <w:rsid w:val="002E62F4"/>
    <w:rsid w:val="002E70DB"/>
    <w:rsid w:val="00313E9D"/>
    <w:rsid w:val="00327522"/>
    <w:rsid w:val="00327F95"/>
    <w:rsid w:val="00330C73"/>
    <w:rsid w:val="00354497"/>
    <w:rsid w:val="003B0DBE"/>
    <w:rsid w:val="003B22DD"/>
    <w:rsid w:val="00433469"/>
    <w:rsid w:val="00492F12"/>
    <w:rsid w:val="004D2DBD"/>
    <w:rsid w:val="004F3F3F"/>
    <w:rsid w:val="004F7889"/>
    <w:rsid w:val="005409F3"/>
    <w:rsid w:val="00574BB4"/>
    <w:rsid w:val="005C0A11"/>
    <w:rsid w:val="005C2699"/>
    <w:rsid w:val="005C6F53"/>
    <w:rsid w:val="005D70CA"/>
    <w:rsid w:val="005F0CC8"/>
    <w:rsid w:val="0061324A"/>
    <w:rsid w:val="006254C7"/>
    <w:rsid w:val="00641E60"/>
    <w:rsid w:val="00646945"/>
    <w:rsid w:val="00685458"/>
    <w:rsid w:val="00687387"/>
    <w:rsid w:val="006A3BE6"/>
    <w:rsid w:val="006E1F3A"/>
    <w:rsid w:val="006F7A38"/>
    <w:rsid w:val="00720109"/>
    <w:rsid w:val="00745627"/>
    <w:rsid w:val="00762F74"/>
    <w:rsid w:val="00765DC9"/>
    <w:rsid w:val="007734CC"/>
    <w:rsid w:val="007A1660"/>
    <w:rsid w:val="007A1863"/>
    <w:rsid w:val="007A2932"/>
    <w:rsid w:val="007B3634"/>
    <w:rsid w:val="007E0604"/>
    <w:rsid w:val="007E0AA6"/>
    <w:rsid w:val="00814C79"/>
    <w:rsid w:val="00820F2A"/>
    <w:rsid w:val="00844A8F"/>
    <w:rsid w:val="00845A09"/>
    <w:rsid w:val="00852EF8"/>
    <w:rsid w:val="008548E0"/>
    <w:rsid w:val="00856951"/>
    <w:rsid w:val="008B3EC1"/>
    <w:rsid w:val="008C3E35"/>
    <w:rsid w:val="008D3DC5"/>
    <w:rsid w:val="00905119"/>
    <w:rsid w:val="00947AF4"/>
    <w:rsid w:val="00975AFF"/>
    <w:rsid w:val="00A009E0"/>
    <w:rsid w:val="00A100DA"/>
    <w:rsid w:val="00B13C2E"/>
    <w:rsid w:val="00B87AB9"/>
    <w:rsid w:val="00BA1BF7"/>
    <w:rsid w:val="00BF3123"/>
    <w:rsid w:val="00C106CC"/>
    <w:rsid w:val="00C178C8"/>
    <w:rsid w:val="00C36B9D"/>
    <w:rsid w:val="00C56E86"/>
    <w:rsid w:val="00C73B2A"/>
    <w:rsid w:val="00C75991"/>
    <w:rsid w:val="00C93ACC"/>
    <w:rsid w:val="00CF3595"/>
    <w:rsid w:val="00D2077E"/>
    <w:rsid w:val="00D31D54"/>
    <w:rsid w:val="00D325FE"/>
    <w:rsid w:val="00D43982"/>
    <w:rsid w:val="00D524F3"/>
    <w:rsid w:val="00D84CA9"/>
    <w:rsid w:val="00DD5D8B"/>
    <w:rsid w:val="00DD6A2F"/>
    <w:rsid w:val="00EA3807"/>
    <w:rsid w:val="00EC1064"/>
    <w:rsid w:val="00ED65ED"/>
    <w:rsid w:val="00EE2552"/>
    <w:rsid w:val="00F4018C"/>
    <w:rsid w:val="00F526EB"/>
    <w:rsid w:val="00F67550"/>
    <w:rsid w:val="00F8344D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0720-A94F-4706-B6D9-1F739247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40</Pages>
  <Words>8127</Words>
  <Characters>46326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Diz</dc:creator>
  <cp:keywords/>
  <dc:description/>
  <cp:lastModifiedBy>Inna</cp:lastModifiedBy>
  <cp:revision>44</cp:revision>
  <dcterms:created xsi:type="dcterms:W3CDTF">2019-02-23T18:07:00Z</dcterms:created>
  <dcterms:modified xsi:type="dcterms:W3CDTF">2019-05-16T14:03:00Z</dcterms:modified>
</cp:coreProperties>
</file>