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2E087E" w:rsidP="002E087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69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клиента и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Структура компонентов клиентской части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 xml:space="preserve">Схема взаимодействия компонентов клиентской части для роли </w:t>
            </w:r>
            <w:proofErr w:type="spellStart"/>
            <w:r w:rsidRPr="00B0036E">
              <w:rPr>
                <w:rFonts w:eastAsia="Times New Roman" w:cs="Times New Roman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 xml:space="preserve">Схема взаимодействия компонентов клиентской части для роли </w:t>
            </w:r>
            <w:r w:rsidRPr="00B0036E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B0036E">
              <w:rPr>
                <w:rFonts w:eastAsia="Times New Roman" w:cs="Times New Roman"/>
                <w:sz w:val="20"/>
                <w:szCs w:val="20"/>
              </w:rPr>
              <w:t>Administrator</w:t>
            </w:r>
            <w:proofErr w:type="spellEnd"/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главной страницы со списком задач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B0036E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Макет страницы детального описания задачи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страницы профиля пользователя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всплывающего окна с формой редактирования информации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sz w:val="20"/>
                <w:szCs w:val="20"/>
              </w:rPr>
              <w:t>09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B0036E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2E087E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B0036E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B0036E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B0036E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BD77B9">
      <w:pPr>
        <w:ind w:right="140" w:firstLine="0"/>
      </w:pPr>
      <w:bookmarkStart w:id="0" w:name="_GoBack"/>
      <w:bookmarkEnd w:id="0"/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8EA" w:rsidRDefault="001D28EA" w:rsidP="009603D5">
      <w:pPr>
        <w:spacing w:line="240" w:lineRule="auto"/>
      </w:pPr>
      <w:r>
        <w:separator/>
      </w:r>
    </w:p>
  </w:endnote>
  <w:endnote w:type="continuationSeparator" w:id="0">
    <w:p w:rsidR="001D28EA" w:rsidRDefault="001D28EA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8EA" w:rsidRDefault="001D28EA" w:rsidP="009603D5">
      <w:pPr>
        <w:spacing w:line="240" w:lineRule="auto"/>
      </w:pPr>
      <w:r>
        <w:separator/>
      </w:r>
    </w:p>
  </w:footnote>
  <w:footnote w:type="continuationSeparator" w:id="0">
    <w:p w:rsidR="001D28EA" w:rsidRDefault="001D28EA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19144E"/>
    <w:rsid w:val="001D28EA"/>
    <w:rsid w:val="00291FC6"/>
    <w:rsid w:val="002E087E"/>
    <w:rsid w:val="00343E9C"/>
    <w:rsid w:val="003A21DC"/>
    <w:rsid w:val="007B6E07"/>
    <w:rsid w:val="00866366"/>
    <w:rsid w:val="009603D5"/>
    <w:rsid w:val="00963382"/>
    <w:rsid w:val="009710F6"/>
    <w:rsid w:val="00B0036E"/>
    <w:rsid w:val="00BD77B9"/>
    <w:rsid w:val="00C33829"/>
    <w:rsid w:val="00C910F4"/>
    <w:rsid w:val="00D3542B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FA26B-7DF7-4354-88CF-C63C0BE9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11</cp:revision>
  <dcterms:created xsi:type="dcterms:W3CDTF">2019-05-25T15:49:00Z</dcterms:created>
  <dcterms:modified xsi:type="dcterms:W3CDTF">2019-05-27T14:23:00Z</dcterms:modified>
</cp:coreProperties>
</file>