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Aptos" w:hAnsi="Aptos"/>
          <w:b/>
          <w:color w:val="147D83"/>
          <w:sz w:val="26"/>
        </w:rPr>
        <w:t>SILVERLINE INDUSTRIES LIMITED</w:t>
      </w:r>
    </w:p>
    <w:p>
      <w:pPr>
        <w:pStyle w:val="Title"/>
        <w:spacing w:before="240"/>
        <w:jc w:val="center"/>
      </w:pPr>
      <w:r>
        <w:t>MINUTES OF THE MEETING OF THE BOARD OF DIRECTORS</w:t>
      </w:r>
    </w:p>
    <w:p>
      <w:pPr>
        <w:jc w:val="center"/>
      </w:pPr>
      <w:r>
        <w:rPr>
          <w:b/>
          <w:color w:val="1D5B87"/>
          <w:sz w:val="24"/>
        </w:rPr>
        <w:t>Held on Thursday, 22 October 2026</w:t>
      </w:r>
    </w:p>
    <w:p>
      <w:pPr>
        <w:jc w:val="center"/>
      </w:pPr>
      <w:r>
        <w:rPr>
          <w:color w:val="64748B"/>
          <w:sz w:val="18"/>
        </w:rPr>
        <w:t>Registered Office: 8th Floor, Meridian House, Andheri East, Mumbai – 400069, Maharashtra, India</w:t>
      </w:r>
    </w:p>
    <w:p/>
    <w:tbl>
      <w:tblPr>
        <w:tblStyle w:val="TableGrid"/>
        <w:tblW w:type="auto" w:w="0"/>
        <w:jc w:val="center"/>
        <w:tblLook w:firstColumn="1" w:firstRow="1" w:lastColumn="0" w:lastRow="0" w:noHBand="0" w:noVBand="1" w:val="04A0"/>
      </w:tblPr>
      <w:tblGrid>
        <w:gridCol w:w="4968"/>
        <w:gridCol w:w="4968"/>
      </w:tblGrid>
      <w:tr>
        <w:trPr>
          <w:cantSplit/>
        </w:trPr>
        <w:tc>
          <w:tcPr>
            <w:tcW w:type="dxa" w:w="2376"/>
            <w:vAlign w:val="top"/>
            <w:shd w:fill="EEF3F8"/>
            <w:shd w:fill="F7F9FC"/>
          </w:tcPr>
          <w:p>
            <w:pPr>
              <w:spacing w:after="20" w:before="0"/>
            </w:pPr>
            <w:r>
              <w:rPr>
                <w:rFonts w:ascii="Aptos" w:hAnsi="Aptos"/>
                <w:sz w:val="16"/>
              </w:rPr>
            </w:r>
            <w:r>
              <w:rPr>
                <w:rFonts w:ascii="Aptos" w:hAnsi="Aptos"/>
                <w:b/>
                <w:color w:val="142B4A"/>
                <w:sz w:val="16"/>
              </w:rPr>
              <w:t>Meeting reference</w:t>
            </w:r>
          </w:p>
        </w:tc>
        <w:tc>
          <w:tcPr>
            <w:tcW w:type="dxa" w:w="6912"/>
            <w:vAlign w:val="top"/>
            <w:shd w:fill="F7F9FC"/>
          </w:tcPr>
          <w:p>
            <w:pPr>
              <w:spacing w:after="20" w:before="0"/>
            </w:pPr>
            <w:r>
              <w:rPr>
                <w:rFonts w:ascii="Aptos" w:hAnsi="Aptos"/>
                <w:sz w:val="16"/>
              </w:rPr>
            </w:r>
            <w:r>
              <w:rPr>
                <w:rFonts w:ascii="Aptos" w:hAnsi="Aptos"/>
                <w:b w:val="0"/>
                <w:color w:val="17212F"/>
                <w:sz w:val="16"/>
              </w:rPr>
              <w:t>BM/2026-27/05 (illustrative)</w:t>
            </w:r>
          </w:p>
        </w:tc>
      </w:tr>
      <w:tr>
        <w:trPr>
          <w:cantSplit/>
        </w:trPr>
        <w:tc>
          <w:tcPr>
            <w:tcW w:type="dxa" w:w="2376"/>
            <w:vAlign w:val="top"/>
            <w:shd w:fill="EEF3F8"/>
          </w:tcPr>
          <w:p>
            <w:pPr>
              <w:spacing w:after="20" w:before="0"/>
            </w:pPr>
            <w:r>
              <w:rPr>
                <w:rFonts w:ascii="Aptos" w:hAnsi="Aptos"/>
                <w:sz w:val="16"/>
              </w:rPr>
            </w:r>
            <w:r>
              <w:rPr>
                <w:rFonts w:ascii="Aptos" w:hAnsi="Aptos"/>
                <w:b/>
                <w:color w:val="142B4A"/>
                <w:sz w:val="16"/>
              </w:rPr>
              <w:t>Meeting commenced</w:t>
            </w:r>
          </w:p>
        </w:tc>
        <w:tc>
          <w:tcPr>
            <w:tcW w:type="dxa" w:w="6912"/>
            <w:vAlign w:val="top"/>
          </w:tcPr>
          <w:p>
            <w:pPr>
              <w:spacing w:after="20" w:before="0"/>
            </w:pPr>
            <w:r>
              <w:rPr>
                <w:rFonts w:ascii="Aptos" w:hAnsi="Aptos"/>
                <w:sz w:val="16"/>
              </w:rPr>
            </w:r>
            <w:r>
              <w:rPr>
                <w:rFonts w:ascii="Aptos" w:hAnsi="Aptos"/>
                <w:b w:val="0"/>
                <w:color w:val="17212F"/>
                <w:sz w:val="16"/>
              </w:rPr>
              <w:t>11:00 a.m. IST</w:t>
            </w:r>
          </w:p>
        </w:tc>
      </w:tr>
      <w:tr>
        <w:trPr>
          <w:cantSplit/>
        </w:trPr>
        <w:tc>
          <w:tcPr>
            <w:tcW w:type="dxa" w:w="2376"/>
            <w:vAlign w:val="top"/>
            <w:shd w:fill="EEF3F8"/>
            <w:shd w:fill="F7F9FC"/>
          </w:tcPr>
          <w:p>
            <w:pPr>
              <w:spacing w:after="20" w:before="0"/>
            </w:pPr>
            <w:r>
              <w:rPr>
                <w:rFonts w:ascii="Aptos" w:hAnsi="Aptos"/>
                <w:sz w:val="16"/>
              </w:rPr>
            </w:r>
            <w:r>
              <w:rPr>
                <w:rFonts w:ascii="Aptos" w:hAnsi="Aptos"/>
                <w:b/>
                <w:color w:val="142B4A"/>
                <w:sz w:val="16"/>
              </w:rPr>
              <w:t>Meeting concluded</w:t>
            </w:r>
          </w:p>
        </w:tc>
        <w:tc>
          <w:tcPr>
            <w:tcW w:type="dxa" w:w="6912"/>
            <w:vAlign w:val="top"/>
            <w:shd w:fill="F7F9FC"/>
          </w:tcPr>
          <w:p>
            <w:pPr>
              <w:spacing w:after="20" w:before="0"/>
            </w:pPr>
            <w:r>
              <w:rPr>
                <w:rFonts w:ascii="Aptos" w:hAnsi="Aptos"/>
                <w:sz w:val="16"/>
              </w:rPr>
            </w:r>
            <w:r>
              <w:rPr>
                <w:rFonts w:ascii="Aptos" w:hAnsi="Aptos"/>
                <w:b w:val="0"/>
                <w:color w:val="17212F"/>
                <w:sz w:val="16"/>
              </w:rPr>
              <w:t>2:35 p.m. IST</w:t>
            </w:r>
          </w:p>
        </w:tc>
      </w:tr>
      <w:tr>
        <w:trPr>
          <w:cantSplit/>
        </w:trPr>
        <w:tc>
          <w:tcPr>
            <w:tcW w:type="dxa" w:w="2376"/>
            <w:vAlign w:val="top"/>
            <w:shd w:fill="EEF3F8"/>
          </w:tcPr>
          <w:p>
            <w:pPr>
              <w:spacing w:after="20" w:before="0"/>
            </w:pPr>
            <w:r>
              <w:rPr>
                <w:rFonts w:ascii="Aptos" w:hAnsi="Aptos"/>
                <w:sz w:val="16"/>
              </w:rPr>
            </w:r>
            <w:r>
              <w:rPr>
                <w:rFonts w:ascii="Aptos" w:hAnsi="Aptos"/>
                <w:b/>
                <w:color w:val="142B4A"/>
                <w:sz w:val="16"/>
              </w:rPr>
              <w:t>Meeting mode</w:t>
            </w:r>
          </w:p>
        </w:tc>
        <w:tc>
          <w:tcPr>
            <w:tcW w:type="dxa" w:w="6912"/>
            <w:vAlign w:val="top"/>
          </w:tcPr>
          <w:p>
            <w:pPr>
              <w:spacing w:after="20" w:before="0"/>
            </w:pPr>
            <w:r>
              <w:rPr>
                <w:rFonts w:ascii="Aptos" w:hAnsi="Aptos"/>
                <w:sz w:val="16"/>
              </w:rPr>
            </w:r>
            <w:r>
              <w:rPr>
                <w:rFonts w:ascii="Aptos" w:hAnsi="Aptos"/>
                <w:b w:val="0"/>
                <w:color w:val="17212F"/>
                <w:sz w:val="16"/>
              </w:rPr>
              <w:t>At the registered office with permitted participation through video-conferencing (fictional example)</w:t>
            </w:r>
          </w:p>
        </w:tc>
      </w:tr>
      <w:tr>
        <w:trPr>
          <w:cantSplit/>
        </w:trPr>
        <w:tc>
          <w:tcPr>
            <w:tcW w:type="dxa" w:w="2376"/>
            <w:vAlign w:val="top"/>
            <w:shd w:fill="EEF3F8"/>
            <w:shd w:fill="F7F9FC"/>
          </w:tcPr>
          <w:p>
            <w:pPr>
              <w:spacing w:after="20" w:before="0"/>
            </w:pPr>
            <w:r>
              <w:rPr>
                <w:rFonts w:ascii="Aptos" w:hAnsi="Aptos"/>
                <w:sz w:val="16"/>
              </w:rPr>
            </w:r>
            <w:r>
              <w:rPr>
                <w:rFonts w:ascii="Aptos" w:hAnsi="Aptos"/>
                <w:b/>
                <w:color w:val="142B4A"/>
                <w:sz w:val="16"/>
              </w:rPr>
              <w:t>Status</w:t>
            </w:r>
          </w:p>
        </w:tc>
        <w:tc>
          <w:tcPr>
            <w:tcW w:type="dxa" w:w="6912"/>
            <w:vAlign w:val="top"/>
            <w:shd w:fill="F7F9FC"/>
          </w:tcPr>
          <w:p>
            <w:pPr>
              <w:spacing w:after="20" w:before="0"/>
            </w:pPr>
            <w:r>
              <w:rPr>
                <w:rFonts w:ascii="Aptos" w:hAnsi="Aptos"/>
                <w:sz w:val="16"/>
              </w:rPr>
            </w:r>
            <w:r>
              <w:rPr>
                <w:rFonts w:ascii="Aptos" w:hAnsi="Aptos"/>
                <w:b w:val="0"/>
                <w:color w:val="17212F"/>
                <w:sz w:val="16"/>
              </w:rPr>
              <w:t>Draft illustrative minutes — not approved or signed</w:t>
            </w:r>
          </w:p>
        </w:tc>
      </w:tr>
      <w:tr>
        <w:trPr>
          <w:cantSplit/>
        </w:trPr>
        <w:tc>
          <w:tcPr>
            <w:tcW w:type="dxa" w:w="2376"/>
            <w:vAlign w:val="top"/>
            <w:shd w:fill="EEF3F8"/>
          </w:tcPr>
          <w:p>
            <w:pPr>
              <w:spacing w:after="20" w:before="0"/>
            </w:pPr>
            <w:r>
              <w:rPr>
                <w:rFonts w:ascii="Aptos" w:hAnsi="Aptos"/>
                <w:sz w:val="16"/>
              </w:rPr>
            </w:r>
            <w:r>
              <w:rPr>
                <w:rFonts w:ascii="Aptos" w:hAnsi="Aptos"/>
                <w:b/>
                <w:color w:val="142B4A"/>
                <w:sz w:val="16"/>
              </w:rPr>
              <w:t>Related document</w:t>
            </w:r>
          </w:p>
        </w:tc>
        <w:tc>
          <w:tcPr>
            <w:tcW w:type="dxa" w:w="6912"/>
            <w:vAlign w:val="top"/>
          </w:tcPr>
          <w:p>
            <w:pPr>
              <w:spacing w:after="20" w:before="0"/>
            </w:pPr>
            <w:r>
              <w:rPr>
                <w:rFonts w:ascii="Aptos" w:hAnsi="Aptos"/>
                <w:sz w:val="16"/>
              </w:rPr>
            </w:r>
            <w:r>
              <w:rPr>
                <w:rFonts w:ascii="Aptos" w:hAnsi="Aptos"/>
                <w:b w:val="0"/>
                <w:color w:val="17212F"/>
                <w:sz w:val="16"/>
              </w:rPr>
              <w:t>Illustrative Outcome of Board Meeting dated 22 October 2026</w:t>
            </w:r>
          </w:p>
        </w:tc>
      </w:tr>
    </w:tbl>
    <w:p/>
    <w:p>
      <w:pPr>
        <w:jc w:val="center"/>
      </w:pPr>
      <w:r>
        <w:rPr>
          <w:b/>
          <w:color w:val="9F2D2D"/>
          <w:sz w:val="20"/>
        </w:rPr>
        <w:t>IMPORTANT NOTICE</w:t>
      </w:r>
    </w:p>
    <w:p>
      <w:pPr>
        <w:ind w:left="576" w:right="576"/>
        <w:jc w:val="center"/>
      </w:pPr>
      <w:r>
        <w:t>This document is a fictional training sample. The company, directors, attendees, meeting details, financial figures, agenda items and resolutions are invented. It is not a valid statutory record, does not evidence that any resolution was passed, and must not be signed, entered in a minutes book, circulated as approved minutes or used for regulatory filing. Actual minutes must be prepared and finalised in accordance with the Companies Act, 2013, applicable rules, Secretarial Standards and the Company’s governance procedures.</w:t>
      </w:r>
    </w:p>
    <w:p>
      <w:r>
        <w:br w:type="page"/>
      </w:r>
    </w:p>
    <w:p>
      <w:pPr>
        <w:pStyle w:val="Heading1"/>
      </w:pPr>
      <w:r>
        <w:t>Document Control</w:t>
      </w:r>
    </w:p>
    <w:tbl>
      <w:tblPr>
        <w:tblStyle w:val="TableGrid"/>
        <w:tblW w:type="auto" w:w="0"/>
        <w:jc w:val="center"/>
        <w:tblLook w:firstColumn="1" w:firstRow="1" w:lastColumn="0" w:lastRow="0" w:noHBand="0" w:noVBand="1" w:val="04A0"/>
      </w:tblPr>
      <w:tblGrid>
        <w:gridCol w:w="3312"/>
        <w:gridCol w:w="3312"/>
        <w:gridCol w:w="3312"/>
      </w:tblGrid>
      <w:tr>
        <w:trPr>
          <w:cantSplit/>
        </w:trPr>
        <w:tc>
          <w:tcPr>
            <w:tcW w:type="dxa" w:w="1944"/>
            <w:vAlign w:val="top"/>
            <w:shd w:fill="142B4A"/>
          </w:tcPr>
          <w:p>
            <w:pPr>
              <w:spacing w:after="20"/>
            </w:pPr>
            <w:r>
              <w:rPr>
                <w:rFonts w:ascii="Aptos" w:hAnsi="Aptos"/>
                <w:b/>
                <w:color w:val="FFFFFF"/>
                <w:sz w:val="16"/>
              </w:rPr>
              <w:t>Field</w:t>
            </w:r>
          </w:p>
        </w:tc>
        <w:tc>
          <w:tcPr>
            <w:tcW w:type="dxa" w:w="3096"/>
            <w:vAlign w:val="top"/>
            <w:shd w:fill="142B4A"/>
          </w:tcPr>
          <w:p>
            <w:pPr>
              <w:spacing w:after="20"/>
            </w:pPr>
            <w:r>
              <w:rPr>
                <w:rFonts w:ascii="Aptos" w:hAnsi="Aptos"/>
                <w:b/>
                <w:color w:val="FFFFFF"/>
                <w:sz w:val="16"/>
              </w:rPr>
              <w:t>Illustrative entry</w:t>
            </w:r>
          </w:p>
        </w:tc>
        <w:tc>
          <w:tcPr>
            <w:tcW w:type="dxa" w:w="4320"/>
            <w:vAlign w:val="top"/>
            <w:shd w:fill="142B4A"/>
          </w:tcPr>
          <w:p>
            <w:pPr>
              <w:spacing w:after="20"/>
            </w:pPr>
            <w:r>
              <w:rPr>
                <w:rFonts w:ascii="Aptos" w:hAnsi="Aptos"/>
                <w:b/>
                <w:color w:val="FFFFFF"/>
                <w:sz w:val="16"/>
              </w:rPr>
              <w:t>Control note</w:t>
            </w:r>
          </w:p>
        </w:tc>
      </w:tr>
      <w:tr>
        <w:trPr>
          <w:cantSplit/>
        </w:trPr>
        <w:tc>
          <w:tcPr>
            <w:tcW w:type="dxa" w:w="1944"/>
            <w:vAlign w:val="top"/>
          </w:tcPr>
          <w:p>
            <w:pPr>
              <w:spacing w:after="20"/>
            </w:pPr>
            <w:r>
              <w:rPr>
                <w:rFonts w:ascii="Aptos" w:hAnsi="Aptos"/>
                <w:sz w:val="16"/>
              </w:rPr>
              <w:t>Document owner</w:t>
            </w:r>
          </w:p>
        </w:tc>
        <w:tc>
          <w:tcPr>
            <w:tcW w:type="dxa" w:w="3096"/>
            <w:vAlign w:val="top"/>
          </w:tcPr>
          <w:p>
            <w:pPr>
              <w:spacing w:after="20"/>
            </w:pPr>
            <w:r>
              <w:rPr>
                <w:rFonts w:ascii="Aptos" w:hAnsi="Aptos"/>
                <w:sz w:val="16"/>
              </w:rPr>
              <w:t>Company Secretary &amp; Compliance Officer</w:t>
            </w:r>
          </w:p>
        </w:tc>
        <w:tc>
          <w:tcPr>
            <w:tcW w:type="dxa" w:w="4320"/>
            <w:vAlign w:val="top"/>
          </w:tcPr>
          <w:p>
            <w:pPr>
              <w:spacing w:after="20"/>
            </w:pPr>
            <w:r>
              <w:rPr>
                <w:rFonts w:ascii="Aptos" w:hAnsi="Aptos"/>
                <w:sz w:val="16"/>
              </w:rPr>
              <w:t>Confirm the actual designated owner.</w:t>
            </w:r>
          </w:p>
        </w:tc>
      </w:tr>
      <w:tr>
        <w:trPr>
          <w:cantSplit/>
        </w:trPr>
        <w:tc>
          <w:tcPr>
            <w:tcW w:type="dxa" w:w="1944"/>
            <w:vAlign w:val="top"/>
            <w:shd w:fill="F7F9FC"/>
          </w:tcPr>
          <w:p>
            <w:pPr>
              <w:spacing w:after="20"/>
            </w:pPr>
            <w:r>
              <w:rPr>
                <w:rFonts w:ascii="Aptos" w:hAnsi="Aptos"/>
                <w:sz w:val="16"/>
              </w:rPr>
              <w:t>Version</w:t>
            </w:r>
          </w:p>
        </w:tc>
        <w:tc>
          <w:tcPr>
            <w:tcW w:type="dxa" w:w="3096"/>
            <w:vAlign w:val="top"/>
            <w:shd w:fill="F7F9FC"/>
          </w:tcPr>
          <w:p>
            <w:pPr>
              <w:spacing w:after="20"/>
            </w:pPr>
            <w:r>
              <w:rPr>
                <w:rFonts w:ascii="Aptos" w:hAnsi="Aptos"/>
                <w:sz w:val="16"/>
              </w:rPr>
              <w:t>Draft v0.1</w:t>
            </w:r>
          </w:p>
        </w:tc>
        <w:tc>
          <w:tcPr>
            <w:tcW w:type="dxa" w:w="4320"/>
            <w:vAlign w:val="top"/>
            <w:shd w:fill="F7F9FC"/>
          </w:tcPr>
          <w:p>
            <w:pPr>
              <w:spacing w:after="20"/>
            </w:pPr>
            <w:r>
              <w:rPr>
                <w:rFonts w:ascii="Aptos" w:hAnsi="Aptos"/>
                <w:sz w:val="16"/>
              </w:rPr>
              <w:t>Update version and status as drafts are revised.</w:t>
            </w:r>
          </w:p>
        </w:tc>
      </w:tr>
      <w:tr>
        <w:trPr>
          <w:cantSplit/>
        </w:trPr>
        <w:tc>
          <w:tcPr>
            <w:tcW w:type="dxa" w:w="1944"/>
            <w:vAlign w:val="top"/>
          </w:tcPr>
          <w:p>
            <w:pPr>
              <w:spacing w:after="20"/>
            </w:pPr>
            <w:r>
              <w:rPr>
                <w:rFonts w:ascii="Aptos" w:hAnsi="Aptos"/>
                <w:sz w:val="16"/>
              </w:rPr>
              <w:t>Prepared on</w:t>
            </w:r>
          </w:p>
        </w:tc>
        <w:tc>
          <w:tcPr>
            <w:tcW w:type="dxa" w:w="3096"/>
            <w:vAlign w:val="top"/>
          </w:tcPr>
          <w:p>
            <w:pPr>
              <w:spacing w:after="20"/>
            </w:pPr>
            <w:r>
              <w:rPr>
                <w:rFonts w:ascii="Aptos" w:hAnsi="Aptos"/>
                <w:sz w:val="16"/>
              </w:rPr>
              <w:t>23 October 2026 (illustrative)</w:t>
            </w:r>
          </w:p>
        </w:tc>
        <w:tc>
          <w:tcPr>
            <w:tcW w:type="dxa" w:w="4320"/>
            <w:vAlign w:val="top"/>
          </w:tcPr>
          <w:p>
            <w:pPr>
              <w:spacing w:after="20"/>
            </w:pPr>
            <w:r>
              <w:rPr>
                <w:rFonts w:ascii="Aptos" w:hAnsi="Aptos"/>
                <w:sz w:val="16"/>
              </w:rPr>
              <w:t>Use actual preparation date.</w:t>
            </w:r>
          </w:p>
        </w:tc>
      </w:tr>
      <w:tr>
        <w:trPr>
          <w:cantSplit/>
        </w:trPr>
        <w:tc>
          <w:tcPr>
            <w:tcW w:type="dxa" w:w="1944"/>
            <w:vAlign w:val="top"/>
            <w:shd w:fill="F7F9FC"/>
          </w:tcPr>
          <w:p>
            <w:pPr>
              <w:spacing w:after="20"/>
            </w:pPr>
            <w:r>
              <w:rPr>
                <w:rFonts w:ascii="Aptos" w:hAnsi="Aptos"/>
                <w:sz w:val="16"/>
              </w:rPr>
              <w:t>Meeting date</w:t>
            </w:r>
          </w:p>
        </w:tc>
        <w:tc>
          <w:tcPr>
            <w:tcW w:type="dxa" w:w="3096"/>
            <w:vAlign w:val="top"/>
            <w:shd w:fill="F7F9FC"/>
          </w:tcPr>
          <w:p>
            <w:pPr>
              <w:spacing w:after="20"/>
            </w:pPr>
            <w:r>
              <w:rPr>
                <w:rFonts w:ascii="Aptos" w:hAnsi="Aptos"/>
                <w:sz w:val="16"/>
              </w:rPr>
              <w:t>22 October 2026</w:t>
            </w:r>
          </w:p>
        </w:tc>
        <w:tc>
          <w:tcPr>
            <w:tcW w:type="dxa" w:w="4320"/>
            <w:vAlign w:val="top"/>
            <w:shd w:fill="F7F9FC"/>
          </w:tcPr>
          <w:p>
            <w:pPr>
              <w:spacing w:after="20"/>
            </w:pPr>
            <w:r>
              <w:rPr>
                <w:rFonts w:ascii="Aptos" w:hAnsi="Aptos"/>
                <w:sz w:val="16"/>
              </w:rPr>
              <w:t>Fictional meeting date used consistently in this sample.</w:t>
            </w:r>
          </w:p>
        </w:tc>
      </w:tr>
      <w:tr>
        <w:trPr>
          <w:cantSplit/>
        </w:trPr>
        <w:tc>
          <w:tcPr>
            <w:tcW w:type="dxa" w:w="1944"/>
            <w:vAlign w:val="top"/>
          </w:tcPr>
          <w:p>
            <w:pPr>
              <w:spacing w:after="20"/>
            </w:pPr>
            <w:r>
              <w:rPr>
                <w:rFonts w:ascii="Aptos" w:hAnsi="Aptos"/>
                <w:sz w:val="16"/>
              </w:rPr>
              <w:t>Approval status</w:t>
            </w:r>
          </w:p>
        </w:tc>
        <w:tc>
          <w:tcPr>
            <w:tcW w:type="dxa" w:w="3096"/>
            <w:vAlign w:val="top"/>
          </w:tcPr>
          <w:p>
            <w:pPr>
              <w:spacing w:after="20"/>
            </w:pPr>
            <w:r>
              <w:rPr>
                <w:rFonts w:ascii="Aptos" w:hAnsi="Aptos"/>
                <w:sz w:val="16"/>
              </w:rPr>
              <w:t>Not approved / not signed</w:t>
            </w:r>
          </w:p>
        </w:tc>
        <w:tc>
          <w:tcPr>
            <w:tcW w:type="dxa" w:w="4320"/>
            <w:vAlign w:val="top"/>
          </w:tcPr>
          <w:p>
            <w:pPr>
              <w:spacing w:after="20"/>
            </w:pPr>
            <w:r>
              <w:rPr>
                <w:rFonts w:ascii="Aptos" w:hAnsi="Aptos"/>
                <w:sz w:val="16"/>
              </w:rPr>
              <w:t>Do not mark final until the statutory process is complete.</w:t>
            </w:r>
          </w:p>
        </w:tc>
      </w:tr>
      <w:tr>
        <w:trPr>
          <w:cantSplit/>
        </w:trPr>
        <w:tc>
          <w:tcPr>
            <w:tcW w:type="dxa" w:w="1944"/>
            <w:vAlign w:val="top"/>
            <w:shd w:fill="F7F9FC"/>
          </w:tcPr>
          <w:p>
            <w:pPr>
              <w:spacing w:after="20"/>
            </w:pPr>
            <w:r>
              <w:rPr>
                <w:rFonts w:ascii="Aptos" w:hAnsi="Aptos"/>
                <w:sz w:val="16"/>
              </w:rPr>
              <w:t>Confidentiality</w:t>
            </w:r>
          </w:p>
        </w:tc>
        <w:tc>
          <w:tcPr>
            <w:tcW w:type="dxa" w:w="3096"/>
            <w:vAlign w:val="top"/>
            <w:shd w:fill="F7F9FC"/>
          </w:tcPr>
          <w:p>
            <w:pPr>
              <w:spacing w:after="20"/>
            </w:pPr>
            <w:r>
              <w:rPr>
                <w:rFonts w:ascii="Aptos" w:hAnsi="Aptos"/>
                <w:sz w:val="16"/>
              </w:rPr>
              <w:t>Internal governance document</w:t>
            </w:r>
          </w:p>
        </w:tc>
        <w:tc>
          <w:tcPr>
            <w:tcW w:type="dxa" w:w="4320"/>
            <w:vAlign w:val="top"/>
            <w:shd w:fill="F7F9FC"/>
          </w:tcPr>
          <w:p>
            <w:pPr>
              <w:spacing w:after="20"/>
            </w:pPr>
            <w:r>
              <w:rPr>
                <w:rFonts w:ascii="Aptos" w:hAnsi="Aptos"/>
                <w:sz w:val="16"/>
              </w:rPr>
              <w:t>Apply the company’s access and retention controls.</w:t>
            </w:r>
          </w:p>
        </w:tc>
      </w:tr>
    </w:tbl>
    <w:p>
      <w:pPr>
        <w:pStyle w:val="Heading1"/>
      </w:pPr>
      <w:r>
        <w:t>1. Meeting Particulars</w:t>
      </w:r>
    </w:p>
    <w:p>
      <w:r>
        <w:t>The fifth meeting of the Board of Directors of Silverline Industries Limited (the “Company”) for the financial year 2026–27 was stated, for purposes of this fictional example, to have been held on Thursday, 22 October 2026, commencing at 11:00 a.m. IST and concluding at 2:35 p.m. IST.</w:t>
      </w:r>
    </w:p>
    <w:tbl>
      <w:tblPr>
        <w:tblStyle w:val="TableGrid"/>
        <w:tblW w:type="auto" w:w="0"/>
        <w:jc w:val="center"/>
        <w:tblLook w:firstColumn="1" w:firstRow="1" w:lastColumn="0" w:lastRow="0" w:noHBand="0" w:noVBand="1" w:val="04A0"/>
      </w:tblPr>
      <w:tblGrid>
        <w:gridCol w:w="4968"/>
        <w:gridCol w:w="4968"/>
      </w:tblGrid>
      <w:tr>
        <w:trPr>
          <w:cantSplit/>
        </w:trPr>
        <w:tc>
          <w:tcPr>
            <w:tcW w:type="dxa" w:w="2160"/>
            <w:vAlign w:val="top"/>
            <w:shd w:fill="142B4A"/>
          </w:tcPr>
          <w:p>
            <w:pPr>
              <w:spacing w:after="20"/>
            </w:pPr>
            <w:r>
              <w:rPr>
                <w:rFonts w:ascii="Aptos" w:hAnsi="Aptos"/>
                <w:b/>
                <w:color w:val="FFFFFF"/>
                <w:sz w:val="16"/>
              </w:rPr>
              <w:t>Particular</w:t>
            </w:r>
          </w:p>
        </w:tc>
        <w:tc>
          <w:tcPr>
            <w:tcW w:type="dxa" w:w="7200"/>
            <w:vAlign w:val="top"/>
            <w:shd w:fill="142B4A"/>
          </w:tcPr>
          <w:p>
            <w:pPr>
              <w:spacing w:after="20"/>
            </w:pPr>
            <w:r>
              <w:rPr>
                <w:rFonts w:ascii="Aptos" w:hAnsi="Aptos"/>
                <w:b/>
                <w:color w:val="FFFFFF"/>
                <w:sz w:val="16"/>
              </w:rPr>
              <w:t>Illustrative detail</w:t>
            </w:r>
          </w:p>
        </w:tc>
      </w:tr>
      <w:tr>
        <w:trPr>
          <w:cantSplit/>
        </w:trPr>
        <w:tc>
          <w:tcPr>
            <w:tcW w:type="dxa" w:w="2160"/>
            <w:vAlign w:val="top"/>
          </w:tcPr>
          <w:p>
            <w:pPr>
              <w:spacing w:after="20"/>
            </w:pPr>
            <w:r>
              <w:rPr>
                <w:rFonts w:ascii="Aptos" w:hAnsi="Aptos"/>
                <w:sz w:val="16"/>
              </w:rPr>
              <w:t>Venue</w:t>
            </w:r>
          </w:p>
        </w:tc>
        <w:tc>
          <w:tcPr>
            <w:tcW w:type="dxa" w:w="7200"/>
            <w:vAlign w:val="top"/>
          </w:tcPr>
          <w:p>
            <w:pPr>
              <w:spacing w:after="20"/>
            </w:pPr>
            <w:r>
              <w:rPr>
                <w:rFonts w:ascii="Aptos" w:hAnsi="Aptos"/>
                <w:sz w:val="16"/>
              </w:rPr>
              <w:t>Registered Office, 8th Floor, Meridian House, Andheri East, Mumbai – 400069, Maharashtra, India.</w:t>
            </w:r>
          </w:p>
        </w:tc>
      </w:tr>
      <w:tr>
        <w:trPr>
          <w:cantSplit/>
        </w:trPr>
        <w:tc>
          <w:tcPr>
            <w:tcW w:type="dxa" w:w="2160"/>
            <w:vAlign w:val="top"/>
            <w:shd w:fill="F7F9FC"/>
          </w:tcPr>
          <w:p>
            <w:pPr>
              <w:spacing w:after="20"/>
            </w:pPr>
            <w:r>
              <w:rPr>
                <w:rFonts w:ascii="Aptos" w:hAnsi="Aptos"/>
                <w:sz w:val="16"/>
              </w:rPr>
              <w:t>Participation</w:t>
            </w:r>
          </w:p>
        </w:tc>
        <w:tc>
          <w:tcPr>
            <w:tcW w:type="dxa" w:w="7200"/>
            <w:vAlign w:val="top"/>
            <w:shd w:fill="F7F9FC"/>
          </w:tcPr>
          <w:p>
            <w:pPr>
              <w:spacing w:after="20"/>
            </w:pPr>
            <w:r>
              <w:rPr>
                <w:rFonts w:ascii="Aptos" w:hAnsi="Aptos"/>
                <w:sz w:val="16"/>
              </w:rPr>
              <w:t>At the venue and through permitted video-conferencing / other audio-visual means, as applicable.</w:t>
            </w:r>
          </w:p>
        </w:tc>
      </w:tr>
      <w:tr>
        <w:trPr>
          <w:cantSplit/>
        </w:trPr>
        <w:tc>
          <w:tcPr>
            <w:tcW w:type="dxa" w:w="2160"/>
            <w:vAlign w:val="top"/>
          </w:tcPr>
          <w:p>
            <w:pPr>
              <w:spacing w:after="20"/>
            </w:pPr>
            <w:r>
              <w:rPr>
                <w:rFonts w:ascii="Aptos" w:hAnsi="Aptos"/>
                <w:sz w:val="16"/>
              </w:rPr>
              <w:t>Chairperson</w:t>
            </w:r>
          </w:p>
        </w:tc>
        <w:tc>
          <w:tcPr>
            <w:tcW w:type="dxa" w:w="7200"/>
            <w:vAlign w:val="top"/>
          </w:tcPr>
          <w:p>
            <w:pPr>
              <w:spacing w:after="20"/>
            </w:pPr>
            <w:r>
              <w:rPr>
                <w:rFonts w:ascii="Aptos" w:hAnsi="Aptos"/>
                <w:sz w:val="16"/>
              </w:rPr>
              <w:t>Mr. Arvind Rao (fictional).</w:t>
            </w:r>
          </w:p>
        </w:tc>
      </w:tr>
      <w:tr>
        <w:trPr>
          <w:cantSplit/>
        </w:trPr>
        <w:tc>
          <w:tcPr>
            <w:tcW w:type="dxa" w:w="2160"/>
            <w:vAlign w:val="top"/>
            <w:shd w:fill="F7F9FC"/>
          </w:tcPr>
          <w:p>
            <w:pPr>
              <w:spacing w:after="20"/>
            </w:pPr>
            <w:r>
              <w:rPr>
                <w:rFonts w:ascii="Aptos" w:hAnsi="Aptos"/>
                <w:sz w:val="16"/>
              </w:rPr>
              <w:t>Company Secretary</w:t>
            </w:r>
          </w:p>
        </w:tc>
        <w:tc>
          <w:tcPr>
            <w:tcW w:type="dxa" w:w="7200"/>
            <w:vAlign w:val="top"/>
            <w:shd w:fill="F7F9FC"/>
          </w:tcPr>
          <w:p>
            <w:pPr>
              <w:spacing w:after="20"/>
            </w:pPr>
            <w:r>
              <w:rPr>
                <w:rFonts w:ascii="Aptos" w:hAnsi="Aptos"/>
                <w:sz w:val="16"/>
              </w:rPr>
              <w:t>Mr. Rohan Deshpande, Company Secretary &amp; Compliance Officer (fictional).</w:t>
            </w:r>
          </w:p>
        </w:tc>
      </w:tr>
      <w:tr>
        <w:trPr>
          <w:cantSplit/>
        </w:trPr>
        <w:tc>
          <w:tcPr>
            <w:tcW w:type="dxa" w:w="2160"/>
            <w:vAlign w:val="top"/>
          </w:tcPr>
          <w:p>
            <w:pPr>
              <w:spacing w:after="20"/>
            </w:pPr>
            <w:r>
              <w:rPr>
                <w:rFonts w:ascii="Aptos" w:hAnsi="Aptos"/>
                <w:sz w:val="16"/>
              </w:rPr>
              <w:t>Quorum</w:t>
            </w:r>
          </w:p>
        </w:tc>
        <w:tc>
          <w:tcPr>
            <w:tcW w:type="dxa" w:w="7200"/>
            <w:vAlign w:val="top"/>
          </w:tcPr>
          <w:p>
            <w:pPr>
              <w:spacing w:after="20"/>
            </w:pPr>
            <w:r>
              <w:rPr>
                <w:rFonts w:ascii="Aptos" w:hAnsi="Aptos"/>
                <w:sz w:val="16"/>
              </w:rPr>
              <w:t>To be confirmed against the actual attendance and applicable legal requirements.</w:t>
            </w:r>
          </w:p>
        </w:tc>
      </w:tr>
    </w:tbl>
    <w:p>
      <w:pPr>
        <w:pStyle w:val="Heading1"/>
      </w:pPr>
      <w:r>
        <w:t>2. Directors Present</w:t>
      </w:r>
    </w:p>
    <w:p>
      <w:r>
        <w:t>The following names are fictional and are included solely to demonstrate a minutes format. Actual attendance, capacity, participation mode, leave of absence and quorum must be verified against attendance records and the applicable requirements.</w:t>
      </w:r>
    </w:p>
    <w:tbl>
      <w:tblPr>
        <w:tblStyle w:val="TableGrid"/>
        <w:tblW w:type="auto" w:w="0"/>
        <w:jc w:val="center"/>
        <w:tblLook w:firstColumn="1" w:firstRow="1" w:lastColumn="0" w:lastRow="0" w:noHBand="0" w:noVBand="1" w:val="04A0"/>
      </w:tblPr>
      <w:tblGrid>
        <w:gridCol w:w="1987"/>
        <w:gridCol w:w="1987"/>
        <w:gridCol w:w="1987"/>
        <w:gridCol w:w="1987"/>
        <w:gridCol w:w="1987"/>
      </w:tblGrid>
      <w:tr>
        <w:trPr>
          <w:cantSplit/>
        </w:trPr>
        <w:tc>
          <w:tcPr>
            <w:tcW w:type="dxa" w:w="504"/>
            <w:vAlign w:val="top"/>
            <w:shd w:fill="142B4A"/>
          </w:tcPr>
          <w:p>
            <w:pPr>
              <w:spacing w:after="20"/>
            </w:pPr>
            <w:r>
              <w:rPr>
                <w:rFonts w:ascii="Aptos" w:hAnsi="Aptos"/>
                <w:b/>
                <w:color w:val="FFFFFF"/>
                <w:sz w:val="16"/>
              </w:rPr>
              <w:t>No.</w:t>
            </w:r>
          </w:p>
        </w:tc>
        <w:tc>
          <w:tcPr>
            <w:tcW w:type="dxa" w:w="1944"/>
            <w:vAlign w:val="top"/>
            <w:shd w:fill="142B4A"/>
          </w:tcPr>
          <w:p>
            <w:pPr>
              <w:spacing w:after="20"/>
            </w:pPr>
            <w:r>
              <w:rPr>
                <w:rFonts w:ascii="Aptos" w:hAnsi="Aptos"/>
                <w:b/>
                <w:color w:val="FFFFFF"/>
                <w:sz w:val="16"/>
              </w:rPr>
              <w:t>Name</w:t>
            </w:r>
          </w:p>
        </w:tc>
        <w:tc>
          <w:tcPr>
            <w:tcW w:type="dxa" w:w="2232"/>
            <w:vAlign w:val="top"/>
            <w:shd w:fill="142B4A"/>
          </w:tcPr>
          <w:p>
            <w:pPr>
              <w:spacing w:after="20"/>
            </w:pPr>
            <w:r>
              <w:rPr>
                <w:rFonts w:ascii="Aptos" w:hAnsi="Aptos"/>
                <w:b/>
                <w:color w:val="FFFFFF"/>
                <w:sz w:val="16"/>
              </w:rPr>
              <w:t>Designation / category</w:t>
            </w:r>
          </w:p>
        </w:tc>
        <w:tc>
          <w:tcPr>
            <w:tcW w:type="dxa" w:w="1584"/>
            <w:vAlign w:val="top"/>
            <w:shd w:fill="142B4A"/>
          </w:tcPr>
          <w:p>
            <w:pPr>
              <w:spacing w:after="20"/>
            </w:pPr>
            <w:r>
              <w:rPr>
                <w:rFonts w:ascii="Aptos" w:hAnsi="Aptos"/>
                <w:b/>
                <w:color w:val="FFFFFF"/>
                <w:sz w:val="16"/>
              </w:rPr>
              <w:t>Participation</w:t>
            </w:r>
          </w:p>
        </w:tc>
        <w:tc>
          <w:tcPr>
            <w:tcW w:type="dxa" w:w="3096"/>
            <w:vAlign w:val="top"/>
            <w:shd w:fill="142B4A"/>
          </w:tcPr>
          <w:p>
            <w:pPr>
              <w:spacing w:after="20"/>
            </w:pPr>
            <w:r>
              <w:rPr>
                <w:rFonts w:ascii="Aptos" w:hAnsi="Aptos"/>
                <w:b/>
                <w:color w:val="FFFFFF"/>
                <w:sz w:val="16"/>
              </w:rPr>
              <w:t>Remarks</w:t>
            </w:r>
          </w:p>
        </w:tc>
      </w:tr>
      <w:tr>
        <w:trPr>
          <w:cantSplit/>
        </w:trPr>
        <w:tc>
          <w:tcPr>
            <w:tcW w:type="dxa" w:w="504"/>
            <w:vAlign w:val="top"/>
          </w:tcPr>
          <w:p>
            <w:pPr>
              <w:spacing w:after="20"/>
            </w:pPr>
            <w:r>
              <w:rPr>
                <w:rFonts w:ascii="Aptos" w:hAnsi="Aptos"/>
                <w:sz w:val="16"/>
              </w:rPr>
              <w:t>1</w:t>
            </w:r>
          </w:p>
        </w:tc>
        <w:tc>
          <w:tcPr>
            <w:tcW w:type="dxa" w:w="1944"/>
            <w:vAlign w:val="top"/>
          </w:tcPr>
          <w:p>
            <w:pPr>
              <w:spacing w:after="20"/>
            </w:pPr>
            <w:r>
              <w:rPr>
                <w:rFonts w:ascii="Aptos" w:hAnsi="Aptos"/>
                <w:sz w:val="16"/>
              </w:rPr>
              <w:t>Mr. Arvind Rao</w:t>
            </w:r>
          </w:p>
        </w:tc>
        <w:tc>
          <w:tcPr>
            <w:tcW w:type="dxa" w:w="2232"/>
            <w:vAlign w:val="top"/>
          </w:tcPr>
          <w:p>
            <w:pPr>
              <w:spacing w:after="20"/>
            </w:pPr>
            <w:r>
              <w:rPr>
                <w:rFonts w:ascii="Aptos" w:hAnsi="Aptos"/>
                <w:sz w:val="16"/>
              </w:rPr>
              <w:t>Chairperson; Non-Executive Director</w:t>
            </w:r>
          </w:p>
        </w:tc>
        <w:tc>
          <w:tcPr>
            <w:tcW w:type="dxa" w:w="1584"/>
            <w:vAlign w:val="top"/>
          </w:tcPr>
          <w:p>
            <w:pPr>
              <w:spacing w:after="20"/>
            </w:pPr>
            <w:r>
              <w:rPr>
                <w:rFonts w:ascii="Aptos" w:hAnsi="Aptos"/>
                <w:sz w:val="16"/>
              </w:rPr>
              <w:t>In person</w:t>
            </w:r>
          </w:p>
        </w:tc>
        <w:tc>
          <w:tcPr>
            <w:tcW w:type="dxa" w:w="3096"/>
            <w:vAlign w:val="top"/>
          </w:tcPr>
          <w:p>
            <w:pPr>
              <w:spacing w:after="20"/>
            </w:pPr>
            <w:r>
              <w:rPr>
                <w:rFonts w:ascii="Aptos" w:hAnsi="Aptos"/>
                <w:sz w:val="16"/>
              </w:rPr>
              <w:t>Presided over the meeting (illustrative).</w:t>
            </w:r>
          </w:p>
        </w:tc>
      </w:tr>
      <w:tr>
        <w:trPr>
          <w:cantSplit/>
        </w:trPr>
        <w:tc>
          <w:tcPr>
            <w:tcW w:type="dxa" w:w="504"/>
            <w:vAlign w:val="top"/>
            <w:shd w:fill="F7F9FC"/>
          </w:tcPr>
          <w:p>
            <w:pPr>
              <w:spacing w:after="20"/>
            </w:pPr>
            <w:r>
              <w:rPr>
                <w:rFonts w:ascii="Aptos" w:hAnsi="Aptos"/>
                <w:sz w:val="16"/>
              </w:rPr>
              <w:t>2</w:t>
            </w:r>
          </w:p>
        </w:tc>
        <w:tc>
          <w:tcPr>
            <w:tcW w:type="dxa" w:w="1944"/>
            <w:vAlign w:val="top"/>
            <w:shd w:fill="F7F9FC"/>
          </w:tcPr>
          <w:p>
            <w:pPr>
              <w:spacing w:after="20"/>
            </w:pPr>
            <w:r>
              <w:rPr>
                <w:rFonts w:ascii="Aptos" w:hAnsi="Aptos"/>
                <w:sz w:val="16"/>
              </w:rPr>
              <w:t>Ms. Kavita Shah</w:t>
            </w:r>
          </w:p>
        </w:tc>
        <w:tc>
          <w:tcPr>
            <w:tcW w:type="dxa" w:w="2232"/>
            <w:vAlign w:val="top"/>
            <w:shd w:fill="F7F9FC"/>
          </w:tcPr>
          <w:p>
            <w:pPr>
              <w:spacing w:after="20"/>
            </w:pPr>
            <w:r>
              <w:rPr>
                <w:rFonts w:ascii="Aptos" w:hAnsi="Aptos"/>
                <w:sz w:val="16"/>
              </w:rPr>
              <w:t>Managing Director</w:t>
            </w:r>
          </w:p>
        </w:tc>
        <w:tc>
          <w:tcPr>
            <w:tcW w:type="dxa" w:w="1584"/>
            <w:vAlign w:val="top"/>
            <w:shd w:fill="F7F9FC"/>
          </w:tcPr>
          <w:p>
            <w:pPr>
              <w:spacing w:after="20"/>
            </w:pPr>
            <w:r>
              <w:rPr>
                <w:rFonts w:ascii="Aptos" w:hAnsi="Aptos"/>
                <w:sz w:val="16"/>
              </w:rPr>
              <w:t>Video-conferencing</w:t>
            </w:r>
          </w:p>
        </w:tc>
        <w:tc>
          <w:tcPr>
            <w:tcW w:type="dxa" w:w="3096"/>
            <w:vAlign w:val="top"/>
            <w:shd w:fill="F7F9FC"/>
          </w:tcPr>
          <w:p>
            <w:pPr>
              <w:spacing w:after="20"/>
            </w:pPr>
            <w:r>
              <w:rPr>
                <w:rFonts w:ascii="Aptos" w:hAnsi="Aptos"/>
                <w:sz w:val="16"/>
              </w:rPr>
              <w:t>Participated throughout (illustrative).</w:t>
            </w:r>
          </w:p>
        </w:tc>
      </w:tr>
      <w:tr>
        <w:trPr>
          <w:cantSplit/>
        </w:trPr>
        <w:tc>
          <w:tcPr>
            <w:tcW w:type="dxa" w:w="504"/>
            <w:vAlign w:val="top"/>
          </w:tcPr>
          <w:p>
            <w:pPr>
              <w:spacing w:after="20"/>
            </w:pPr>
            <w:r>
              <w:rPr>
                <w:rFonts w:ascii="Aptos" w:hAnsi="Aptos"/>
                <w:sz w:val="16"/>
              </w:rPr>
              <w:t>3</w:t>
            </w:r>
          </w:p>
        </w:tc>
        <w:tc>
          <w:tcPr>
            <w:tcW w:type="dxa" w:w="1944"/>
            <w:vAlign w:val="top"/>
          </w:tcPr>
          <w:p>
            <w:pPr>
              <w:spacing w:after="20"/>
            </w:pPr>
            <w:r>
              <w:rPr>
                <w:rFonts w:ascii="Aptos" w:hAnsi="Aptos"/>
                <w:sz w:val="16"/>
              </w:rPr>
              <w:t>Mr. Dev Malhotra</w:t>
            </w:r>
          </w:p>
        </w:tc>
        <w:tc>
          <w:tcPr>
            <w:tcW w:type="dxa" w:w="2232"/>
            <w:vAlign w:val="top"/>
          </w:tcPr>
          <w:p>
            <w:pPr>
              <w:spacing w:after="20"/>
            </w:pPr>
            <w:r>
              <w:rPr>
                <w:rFonts w:ascii="Aptos" w:hAnsi="Aptos"/>
                <w:sz w:val="16"/>
              </w:rPr>
              <w:t>Executive Director</w:t>
            </w:r>
          </w:p>
        </w:tc>
        <w:tc>
          <w:tcPr>
            <w:tcW w:type="dxa" w:w="1584"/>
            <w:vAlign w:val="top"/>
          </w:tcPr>
          <w:p>
            <w:pPr>
              <w:spacing w:after="20"/>
            </w:pPr>
            <w:r>
              <w:rPr>
                <w:rFonts w:ascii="Aptos" w:hAnsi="Aptos"/>
                <w:sz w:val="16"/>
              </w:rPr>
              <w:t>In person</w:t>
            </w:r>
          </w:p>
        </w:tc>
        <w:tc>
          <w:tcPr>
            <w:tcW w:type="dxa" w:w="3096"/>
            <w:vAlign w:val="top"/>
          </w:tcPr>
          <w:p>
            <w:pPr>
              <w:spacing w:after="20"/>
            </w:pPr>
            <w:r>
              <w:rPr>
                <w:rFonts w:ascii="Aptos" w:hAnsi="Aptos"/>
                <w:sz w:val="16"/>
              </w:rPr>
              <w:t>—</w:t>
            </w:r>
          </w:p>
        </w:tc>
      </w:tr>
      <w:tr>
        <w:trPr>
          <w:cantSplit/>
        </w:trPr>
        <w:tc>
          <w:tcPr>
            <w:tcW w:type="dxa" w:w="504"/>
            <w:vAlign w:val="top"/>
            <w:shd w:fill="F7F9FC"/>
          </w:tcPr>
          <w:p>
            <w:pPr>
              <w:spacing w:after="20"/>
            </w:pPr>
            <w:r>
              <w:rPr>
                <w:rFonts w:ascii="Aptos" w:hAnsi="Aptos"/>
                <w:sz w:val="16"/>
              </w:rPr>
              <w:t>4</w:t>
            </w:r>
          </w:p>
        </w:tc>
        <w:tc>
          <w:tcPr>
            <w:tcW w:type="dxa" w:w="1944"/>
            <w:vAlign w:val="top"/>
            <w:shd w:fill="F7F9FC"/>
          </w:tcPr>
          <w:p>
            <w:pPr>
              <w:spacing w:after="20"/>
            </w:pPr>
            <w:r>
              <w:rPr>
                <w:rFonts w:ascii="Aptos" w:hAnsi="Aptos"/>
                <w:sz w:val="16"/>
              </w:rPr>
              <w:t>Ms. Leena Iyer</w:t>
            </w:r>
          </w:p>
        </w:tc>
        <w:tc>
          <w:tcPr>
            <w:tcW w:type="dxa" w:w="2232"/>
            <w:vAlign w:val="top"/>
            <w:shd w:fill="F7F9FC"/>
          </w:tcPr>
          <w:p>
            <w:pPr>
              <w:spacing w:after="20"/>
            </w:pPr>
            <w:r>
              <w:rPr>
                <w:rFonts w:ascii="Aptos" w:hAnsi="Aptos"/>
                <w:sz w:val="16"/>
              </w:rPr>
              <w:t>Independent Director</w:t>
            </w:r>
          </w:p>
        </w:tc>
        <w:tc>
          <w:tcPr>
            <w:tcW w:type="dxa" w:w="1584"/>
            <w:vAlign w:val="top"/>
            <w:shd w:fill="F7F9FC"/>
          </w:tcPr>
          <w:p>
            <w:pPr>
              <w:spacing w:after="20"/>
            </w:pPr>
            <w:r>
              <w:rPr>
                <w:rFonts w:ascii="Aptos" w:hAnsi="Aptos"/>
                <w:sz w:val="16"/>
              </w:rPr>
              <w:t>Video-conferencing</w:t>
            </w:r>
          </w:p>
        </w:tc>
        <w:tc>
          <w:tcPr>
            <w:tcW w:type="dxa" w:w="3096"/>
            <w:vAlign w:val="top"/>
            <w:shd w:fill="F7F9FC"/>
          </w:tcPr>
          <w:p>
            <w:pPr>
              <w:spacing w:after="20"/>
            </w:pPr>
            <w:r>
              <w:rPr>
                <w:rFonts w:ascii="Aptos" w:hAnsi="Aptos"/>
                <w:sz w:val="16"/>
              </w:rPr>
              <w:t>—</w:t>
            </w:r>
          </w:p>
        </w:tc>
      </w:tr>
      <w:tr>
        <w:trPr>
          <w:cantSplit/>
        </w:trPr>
        <w:tc>
          <w:tcPr>
            <w:tcW w:type="dxa" w:w="504"/>
            <w:vAlign w:val="top"/>
          </w:tcPr>
          <w:p>
            <w:pPr>
              <w:spacing w:after="20"/>
            </w:pPr>
            <w:r>
              <w:rPr>
                <w:rFonts w:ascii="Aptos" w:hAnsi="Aptos"/>
                <w:sz w:val="16"/>
              </w:rPr>
              <w:t>5</w:t>
            </w:r>
          </w:p>
        </w:tc>
        <w:tc>
          <w:tcPr>
            <w:tcW w:type="dxa" w:w="1944"/>
            <w:vAlign w:val="top"/>
          </w:tcPr>
          <w:p>
            <w:pPr>
              <w:spacing w:after="20"/>
            </w:pPr>
            <w:r>
              <w:rPr>
                <w:rFonts w:ascii="Aptos" w:hAnsi="Aptos"/>
                <w:sz w:val="16"/>
              </w:rPr>
              <w:t>Mr. Sameer Kulkarni</w:t>
            </w:r>
          </w:p>
        </w:tc>
        <w:tc>
          <w:tcPr>
            <w:tcW w:type="dxa" w:w="2232"/>
            <w:vAlign w:val="top"/>
          </w:tcPr>
          <w:p>
            <w:pPr>
              <w:spacing w:after="20"/>
            </w:pPr>
            <w:r>
              <w:rPr>
                <w:rFonts w:ascii="Aptos" w:hAnsi="Aptos"/>
                <w:sz w:val="16"/>
              </w:rPr>
              <w:t>Independent Director</w:t>
            </w:r>
          </w:p>
        </w:tc>
        <w:tc>
          <w:tcPr>
            <w:tcW w:type="dxa" w:w="1584"/>
            <w:vAlign w:val="top"/>
          </w:tcPr>
          <w:p>
            <w:pPr>
              <w:spacing w:after="20"/>
            </w:pPr>
            <w:r>
              <w:rPr>
                <w:rFonts w:ascii="Aptos" w:hAnsi="Aptos"/>
                <w:sz w:val="16"/>
              </w:rPr>
              <w:t>In person</w:t>
            </w:r>
          </w:p>
        </w:tc>
        <w:tc>
          <w:tcPr>
            <w:tcW w:type="dxa" w:w="3096"/>
            <w:vAlign w:val="top"/>
          </w:tcPr>
          <w:p>
            <w:pPr>
              <w:spacing w:after="20"/>
            </w:pPr>
            <w:r>
              <w:rPr>
                <w:rFonts w:ascii="Aptos" w:hAnsi="Aptos"/>
                <w:sz w:val="16"/>
              </w:rPr>
              <w:t>—</w:t>
            </w:r>
          </w:p>
        </w:tc>
      </w:tr>
      <w:tr>
        <w:trPr>
          <w:cantSplit/>
        </w:trPr>
        <w:tc>
          <w:tcPr>
            <w:tcW w:type="dxa" w:w="504"/>
            <w:vAlign w:val="top"/>
            <w:shd w:fill="F7F9FC"/>
          </w:tcPr>
          <w:p>
            <w:pPr>
              <w:spacing w:after="20"/>
            </w:pPr>
            <w:r>
              <w:rPr>
                <w:rFonts w:ascii="Aptos" w:hAnsi="Aptos"/>
                <w:sz w:val="16"/>
              </w:rPr>
              <w:t>6</w:t>
            </w:r>
          </w:p>
        </w:tc>
        <w:tc>
          <w:tcPr>
            <w:tcW w:type="dxa" w:w="1944"/>
            <w:vAlign w:val="top"/>
            <w:shd w:fill="F7F9FC"/>
          </w:tcPr>
          <w:p>
            <w:pPr>
              <w:spacing w:after="20"/>
            </w:pPr>
            <w:r>
              <w:rPr>
                <w:rFonts w:ascii="Aptos" w:hAnsi="Aptos"/>
                <w:sz w:val="16"/>
              </w:rPr>
              <w:t>Ms. Farah Contractor</w:t>
            </w:r>
          </w:p>
        </w:tc>
        <w:tc>
          <w:tcPr>
            <w:tcW w:type="dxa" w:w="2232"/>
            <w:vAlign w:val="top"/>
            <w:shd w:fill="F7F9FC"/>
          </w:tcPr>
          <w:p>
            <w:pPr>
              <w:spacing w:after="20"/>
            </w:pPr>
            <w:r>
              <w:rPr>
                <w:rFonts w:ascii="Aptos" w:hAnsi="Aptos"/>
                <w:sz w:val="16"/>
              </w:rPr>
              <w:t>Independent Director</w:t>
            </w:r>
          </w:p>
        </w:tc>
        <w:tc>
          <w:tcPr>
            <w:tcW w:type="dxa" w:w="1584"/>
            <w:vAlign w:val="top"/>
            <w:shd w:fill="F7F9FC"/>
          </w:tcPr>
          <w:p>
            <w:pPr>
              <w:spacing w:after="20"/>
            </w:pPr>
            <w:r>
              <w:rPr>
                <w:rFonts w:ascii="Aptos" w:hAnsi="Aptos"/>
                <w:sz w:val="16"/>
              </w:rPr>
              <w:t>Video-conferencing</w:t>
            </w:r>
          </w:p>
        </w:tc>
        <w:tc>
          <w:tcPr>
            <w:tcW w:type="dxa" w:w="3096"/>
            <w:vAlign w:val="top"/>
            <w:shd w:fill="F7F9FC"/>
          </w:tcPr>
          <w:p>
            <w:pPr>
              <w:spacing w:after="20"/>
            </w:pPr>
            <w:r>
              <w:rPr>
                <w:rFonts w:ascii="Aptos" w:hAnsi="Aptos"/>
                <w:sz w:val="16"/>
              </w:rPr>
              <w:t>—</w:t>
            </w:r>
          </w:p>
        </w:tc>
      </w:tr>
    </w:tbl>
    <w:p>
      <w:pPr>
        <w:pStyle w:val="Heading1"/>
      </w:pPr>
      <w:r>
        <w:t>3. In Attendance / Invitees</w:t>
      </w:r>
    </w:p>
    <w:tbl>
      <w:tblPr>
        <w:tblStyle w:val="TableGrid"/>
        <w:tblW w:type="auto" w:w="0"/>
        <w:jc w:val="center"/>
        <w:tblLook w:firstColumn="1" w:firstRow="1" w:lastColumn="0" w:lastRow="0" w:noHBand="0" w:noVBand="1" w:val="04A0"/>
      </w:tblPr>
      <w:tblGrid>
        <w:gridCol w:w="3312"/>
        <w:gridCol w:w="3312"/>
        <w:gridCol w:w="3312"/>
      </w:tblGrid>
      <w:tr>
        <w:trPr>
          <w:cantSplit/>
        </w:trPr>
        <w:tc>
          <w:tcPr>
            <w:tcW w:type="dxa" w:w="2160"/>
            <w:vAlign w:val="top"/>
            <w:shd w:fill="142B4A"/>
          </w:tcPr>
          <w:p>
            <w:pPr>
              <w:spacing w:after="20"/>
            </w:pPr>
            <w:r>
              <w:rPr>
                <w:rFonts w:ascii="Aptos" w:hAnsi="Aptos"/>
                <w:b/>
                <w:color w:val="FFFFFF"/>
                <w:sz w:val="16"/>
              </w:rPr>
              <w:t>Name</w:t>
            </w:r>
          </w:p>
        </w:tc>
        <w:tc>
          <w:tcPr>
            <w:tcW w:type="dxa" w:w="2880"/>
            <w:vAlign w:val="top"/>
            <w:shd w:fill="142B4A"/>
          </w:tcPr>
          <w:p>
            <w:pPr>
              <w:spacing w:after="20"/>
            </w:pPr>
            <w:r>
              <w:rPr>
                <w:rFonts w:ascii="Aptos" w:hAnsi="Aptos"/>
                <w:b/>
                <w:color w:val="FFFFFF"/>
                <w:sz w:val="16"/>
              </w:rPr>
              <w:t>Role</w:t>
            </w:r>
          </w:p>
        </w:tc>
        <w:tc>
          <w:tcPr>
            <w:tcW w:type="dxa" w:w="4320"/>
            <w:vAlign w:val="top"/>
            <w:shd w:fill="142B4A"/>
          </w:tcPr>
          <w:p>
            <w:pPr>
              <w:spacing w:after="20"/>
            </w:pPr>
            <w:r>
              <w:rPr>
                <w:rFonts w:ascii="Aptos" w:hAnsi="Aptos"/>
                <w:b/>
                <w:color w:val="FFFFFF"/>
                <w:sz w:val="16"/>
              </w:rPr>
              <w:t>Agenda participation / note</w:t>
            </w:r>
          </w:p>
        </w:tc>
      </w:tr>
      <w:tr>
        <w:trPr>
          <w:cantSplit/>
        </w:trPr>
        <w:tc>
          <w:tcPr>
            <w:tcW w:type="dxa" w:w="2160"/>
            <w:vAlign w:val="top"/>
          </w:tcPr>
          <w:p>
            <w:pPr>
              <w:spacing w:after="20"/>
            </w:pPr>
            <w:r>
              <w:rPr>
                <w:rFonts w:ascii="Aptos" w:hAnsi="Aptos"/>
                <w:sz w:val="16"/>
              </w:rPr>
              <w:t>Mr. Rohan Deshpande</w:t>
            </w:r>
          </w:p>
        </w:tc>
        <w:tc>
          <w:tcPr>
            <w:tcW w:type="dxa" w:w="2880"/>
            <w:vAlign w:val="top"/>
          </w:tcPr>
          <w:p>
            <w:pPr>
              <w:spacing w:after="20"/>
            </w:pPr>
            <w:r>
              <w:rPr>
                <w:rFonts w:ascii="Aptos" w:hAnsi="Aptos"/>
                <w:sz w:val="16"/>
              </w:rPr>
              <w:t>Company Secretary &amp; Compliance Officer</w:t>
            </w:r>
          </w:p>
        </w:tc>
        <w:tc>
          <w:tcPr>
            <w:tcW w:type="dxa" w:w="4320"/>
            <w:vAlign w:val="top"/>
          </w:tcPr>
          <w:p>
            <w:pPr>
              <w:spacing w:after="20"/>
            </w:pPr>
            <w:r>
              <w:rPr>
                <w:rFonts w:ascii="Aptos" w:hAnsi="Aptos"/>
                <w:sz w:val="16"/>
              </w:rPr>
              <w:t>Secretary to the Board (fictional).</w:t>
            </w:r>
          </w:p>
        </w:tc>
      </w:tr>
      <w:tr>
        <w:trPr>
          <w:cantSplit/>
        </w:trPr>
        <w:tc>
          <w:tcPr>
            <w:tcW w:type="dxa" w:w="2160"/>
            <w:vAlign w:val="top"/>
            <w:shd w:fill="F7F9FC"/>
          </w:tcPr>
          <w:p>
            <w:pPr>
              <w:spacing w:after="20"/>
            </w:pPr>
            <w:r>
              <w:rPr>
                <w:rFonts w:ascii="Aptos" w:hAnsi="Aptos"/>
                <w:sz w:val="16"/>
              </w:rPr>
              <w:t>Ms. Nisha Mehta</w:t>
            </w:r>
          </w:p>
        </w:tc>
        <w:tc>
          <w:tcPr>
            <w:tcW w:type="dxa" w:w="2880"/>
            <w:vAlign w:val="top"/>
            <w:shd w:fill="F7F9FC"/>
          </w:tcPr>
          <w:p>
            <w:pPr>
              <w:spacing w:after="20"/>
            </w:pPr>
            <w:r>
              <w:rPr>
                <w:rFonts w:ascii="Aptos" w:hAnsi="Aptos"/>
                <w:sz w:val="16"/>
              </w:rPr>
              <w:t>Finance representative / proposed CFO</w:t>
            </w:r>
          </w:p>
        </w:tc>
        <w:tc>
          <w:tcPr>
            <w:tcW w:type="dxa" w:w="4320"/>
            <w:vAlign w:val="top"/>
            <w:shd w:fill="F7F9FC"/>
          </w:tcPr>
          <w:p>
            <w:pPr>
              <w:spacing w:after="20"/>
            </w:pPr>
            <w:r>
              <w:rPr>
                <w:rFonts w:ascii="Aptos" w:hAnsi="Aptos"/>
                <w:sz w:val="16"/>
              </w:rPr>
              <w:t>Joined for financial results and finance-related agenda items; left after the relevant items (illustrative).</w:t>
            </w:r>
          </w:p>
        </w:tc>
      </w:tr>
      <w:tr>
        <w:trPr>
          <w:cantSplit/>
        </w:trPr>
        <w:tc>
          <w:tcPr>
            <w:tcW w:type="dxa" w:w="2160"/>
            <w:vAlign w:val="top"/>
          </w:tcPr>
          <w:p>
            <w:pPr>
              <w:spacing w:after="20"/>
            </w:pPr>
            <w:r>
              <w:rPr>
                <w:rFonts w:ascii="Aptos" w:hAnsi="Aptos"/>
                <w:sz w:val="16"/>
              </w:rPr>
              <w:t>Mr. Prateek Menon</w:t>
            </w:r>
          </w:p>
        </w:tc>
        <w:tc>
          <w:tcPr>
            <w:tcW w:type="dxa" w:w="2880"/>
            <w:vAlign w:val="top"/>
          </w:tcPr>
          <w:p>
            <w:pPr>
              <w:spacing w:after="20"/>
            </w:pPr>
            <w:r>
              <w:rPr>
                <w:rFonts w:ascii="Aptos" w:hAnsi="Aptos"/>
                <w:sz w:val="16"/>
              </w:rPr>
              <w:t>Chief Operating Officer</w:t>
            </w:r>
          </w:p>
        </w:tc>
        <w:tc>
          <w:tcPr>
            <w:tcW w:type="dxa" w:w="4320"/>
            <w:vAlign w:val="top"/>
          </w:tcPr>
          <w:p>
            <w:pPr>
              <w:spacing w:after="20"/>
            </w:pPr>
            <w:r>
              <w:rPr>
                <w:rFonts w:ascii="Aptos" w:hAnsi="Aptos"/>
                <w:sz w:val="16"/>
              </w:rPr>
              <w:t>Joined for manufacturing modernisation and operational risk items (illustrative).</w:t>
            </w:r>
          </w:p>
        </w:tc>
      </w:tr>
      <w:tr>
        <w:trPr>
          <w:cantSplit/>
        </w:trPr>
        <w:tc>
          <w:tcPr>
            <w:tcW w:type="dxa" w:w="2160"/>
            <w:vAlign w:val="top"/>
            <w:shd w:fill="F7F9FC"/>
          </w:tcPr>
          <w:p>
            <w:pPr>
              <w:spacing w:after="20"/>
            </w:pPr>
            <w:r>
              <w:rPr>
                <w:rFonts w:ascii="Aptos" w:hAnsi="Aptos"/>
                <w:sz w:val="16"/>
              </w:rPr>
              <w:t>Ms. Aditi Sen</w:t>
            </w:r>
          </w:p>
        </w:tc>
        <w:tc>
          <w:tcPr>
            <w:tcW w:type="dxa" w:w="2880"/>
            <w:vAlign w:val="top"/>
            <w:shd w:fill="F7F9FC"/>
          </w:tcPr>
          <w:p>
            <w:pPr>
              <w:spacing w:after="20"/>
            </w:pPr>
            <w:r>
              <w:rPr>
                <w:rFonts w:ascii="Aptos" w:hAnsi="Aptos"/>
                <w:sz w:val="16"/>
              </w:rPr>
              <w:t>Head of Internal Audit</w:t>
            </w:r>
          </w:p>
        </w:tc>
        <w:tc>
          <w:tcPr>
            <w:tcW w:type="dxa" w:w="4320"/>
            <w:vAlign w:val="top"/>
            <w:shd w:fill="F7F9FC"/>
          </w:tcPr>
          <w:p>
            <w:pPr>
              <w:spacing w:after="20"/>
            </w:pPr>
            <w:r>
              <w:rPr>
                <w:rFonts w:ascii="Aptos" w:hAnsi="Aptos"/>
                <w:sz w:val="16"/>
              </w:rPr>
              <w:t>Joined for risk, controls and compliance discussion (illustrative).</w:t>
            </w:r>
          </w:p>
        </w:tc>
      </w:tr>
    </w:tbl>
    <w:p>
      <w:pPr>
        <w:pStyle w:val="Heading1"/>
      </w:pPr>
      <w:r>
        <w:t>4. Leave of Absence</w:t>
      </w:r>
    </w:p>
    <w:p>
      <w:r>
        <w:t>For this sample, no leave-of-absence request is assumed to have been received. This statement is a placeholder only and must be replaced with the actual facts. Any request for leave and the Board’s decision should be recorded accurately.</w:t>
      </w:r>
    </w:p>
    <w:p>
      <w:pPr>
        <w:pStyle w:val="Heading1"/>
      </w:pPr>
      <w:r>
        <w:t>5. Quorum and Chair</w:t>
      </w:r>
    </w:p>
    <w:p>
      <w:r>
        <w:t>The Chairperson called the meeting to order after the Company Secretary confirmed, for purposes of this fictional example, that the required quorum was present. The Chairperson presided over the meeting. Before approval, the Company Secretary must verify the actual quorum, director participation, any interested director’s participation restrictions, and compliance with the Company’s Articles, applicable law and relevant Secretarial Standards.</w:t>
      </w:r>
    </w:p>
    <w:p>
      <w:pPr>
        <w:pStyle w:val="Heading1"/>
      </w:pPr>
      <w:r>
        <w:t>6. Notice and Agenda</w:t>
      </w:r>
    </w:p>
    <w:p>
      <w:r>
        <w:t>The Company Secretary stated that notice of the meeting and the agenda papers had been circulated to the Directors. This is an illustrative statement only; the actual notice date, delivery method, any shorter-notice consents, agenda circulation, supplementary papers and supporting documents must be verified and recorded.</w:t>
      </w:r>
    </w:p>
    <w:p>
      <w:r>
        <w:t>The Board considered the agenda items in the sequence recorded below. The narrative is intentionally more detailed than a short-form minutes extract to demonstrate how background, deliberation, decision, conditions and follow-up actions may be captured. Actual minutes should accurately reflect the proceedings and should not invent or retrospectively attribute comments to directors.</w:t>
      </w:r>
    </w:p>
    <w:p>
      <w:pPr>
        <w:pStyle w:val="Heading1"/>
      </w:pPr>
      <w:r>
        <w:t>7. Agenda Items, Deliberations and Decisions</w:t>
      </w:r>
    </w:p>
    <w:p>
      <w:pPr>
        <w:pStyle w:val="Heading2"/>
      </w:pPr>
      <w:r>
        <w:t>Item 1 — To take note of the minutes of the previous Board meeting and committee meetings</w:t>
      </w:r>
    </w:p>
    <w:p>
      <w:r>
        <w:t>The Chairperson invited comments on the minutes of the previous Board meeting and the minutes of committee meetings placed before the Board. The Board, for this illustrative sample, noted the documents without recording any amendment. The Company Secretary was asked to maintain the approved minutes and related records in the Company’s statutory and governance repositories.</w:t>
      </w:r>
    </w:p>
    <w:p>
      <w:r>
        <w:t>Decision / action: Previous minutes noted; no amendment is assumed in this fictional example.</w:t>
      </w:r>
    </w:p>
    <w:p>
      <w:pPr>
        <w:pStyle w:val="Heading2"/>
      </w:pPr>
      <w:r>
        <w:t>Item 2 — To review and approve unaudited standalone and consolidated financial results for the quarter and half year ended 30 September 2026</w:t>
      </w:r>
    </w:p>
    <w:p>
      <w:r>
        <w:t>The Finance representative presented the unaudited standalone and consolidated financial results for the quarter and half year ended 30 September 2026, together with the related notes and supporting schedules. The Board was informed that the results had been placed before the Audit Committee for review and recommendation. The statutory auditor’s limited review report(s), where applicable, were presented or identified for inclusion in the relevant results package. The figures below are fictional and are included only to make the example self-contained.</w:t>
      </w:r>
    </w:p>
    <w:tbl>
      <w:tblPr>
        <w:tblStyle w:val="TableGrid"/>
        <w:tblW w:type="auto" w:w="0"/>
        <w:jc w:val="center"/>
        <w:tblLook w:firstColumn="1" w:firstRow="1" w:lastColumn="0" w:lastRow="0" w:noHBand="0" w:noVBand="1" w:val="04A0"/>
      </w:tblPr>
      <w:tblGrid>
        <w:gridCol w:w="1987"/>
        <w:gridCol w:w="1987"/>
        <w:gridCol w:w="1987"/>
        <w:gridCol w:w="1987"/>
        <w:gridCol w:w="1987"/>
      </w:tblGrid>
      <w:tr>
        <w:trPr>
          <w:cantSplit/>
        </w:trPr>
        <w:tc>
          <w:tcPr>
            <w:tcW w:type="dxa" w:w="3096"/>
            <w:vAlign w:val="top"/>
            <w:shd w:fill="142B4A"/>
          </w:tcPr>
          <w:p>
            <w:pPr>
              <w:spacing w:after="20"/>
            </w:pPr>
            <w:r>
              <w:rPr>
                <w:rFonts w:ascii="Aptos" w:hAnsi="Aptos"/>
                <w:b/>
                <w:color w:val="FFFFFF"/>
                <w:sz w:val="16"/>
              </w:rPr>
              <w:t>Particulars (₹ crore, illustrative)</w:t>
            </w:r>
          </w:p>
        </w:tc>
        <w:tc>
          <w:tcPr>
            <w:tcW w:type="dxa" w:w="1368"/>
            <w:vAlign w:val="top"/>
            <w:shd w:fill="142B4A"/>
          </w:tcPr>
          <w:p>
            <w:pPr>
              <w:spacing w:after="20"/>
            </w:pPr>
            <w:r>
              <w:rPr>
                <w:rFonts w:ascii="Aptos" w:hAnsi="Aptos"/>
                <w:b/>
                <w:color w:val="FFFFFF"/>
                <w:sz w:val="16"/>
              </w:rPr>
              <w:t>Q2 FY27</w:t>
            </w:r>
          </w:p>
        </w:tc>
        <w:tc>
          <w:tcPr>
            <w:tcW w:type="dxa" w:w="1368"/>
            <w:vAlign w:val="top"/>
            <w:shd w:fill="142B4A"/>
          </w:tcPr>
          <w:p>
            <w:pPr>
              <w:spacing w:after="20"/>
            </w:pPr>
            <w:r>
              <w:rPr>
                <w:rFonts w:ascii="Aptos" w:hAnsi="Aptos"/>
                <w:b/>
                <w:color w:val="FFFFFF"/>
                <w:sz w:val="16"/>
              </w:rPr>
              <w:t>Q2 FY26</w:t>
            </w:r>
          </w:p>
        </w:tc>
        <w:tc>
          <w:tcPr>
            <w:tcW w:type="dxa" w:w="1368"/>
            <w:vAlign w:val="top"/>
            <w:shd w:fill="142B4A"/>
          </w:tcPr>
          <w:p>
            <w:pPr>
              <w:spacing w:after="20"/>
            </w:pPr>
            <w:r>
              <w:rPr>
                <w:rFonts w:ascii="Aptos" w:hAnsi="Aptos"/>
                <w:b/>
                <w:color w:val="FFFFFF"/>
                <w:sz w:val="16"/>
              </w:rPr>
              <w:t>H1 FY27</w:t>
            </w:r>
          </w:p>
        </w:tc>
        <w:tc>
          <w:tcPr>
            <w:tcW w:type="dxa" w:w="1368"/>
            <w:vAlign w:val="top"/>
            <w:shd w:fill="142B4A"/>
          </w:tcPr>
          <w:p>
            <w:pPr>
              <w:spacing w:after="20"/>
            </w:pPr>
            <w:r>
              <w:rPr>
                <w:rFonts w:ascii="Aptos" w:hAnsi="Aptos"/>
                <w:b/>
                <w:color w:val="FFFFFF"/>
                <w:sz w:val="16"/>
              </w:rPr>
              <w:t>H1 FY26</w:t>
            </w:r>
          </w:p>
        </w:tc>
      </w:tr>
      <w:tr>
        <w:trPr>
          <w:cantSplit/>
        </w:trPr>
        <w:tc>
          <w:tcPr>
            <w:tcW w:type="dxa" w:w="3096"/>
            <w:vAlign w:val="top"/>
          </w:tcPr>
          <w:p>
            <w:pPr>
              <w:spacing w:after="20"/>
            </w:pPr>
            <w:r>
              <w:rPr>
                <w:rFonts w:ascii="Aptos" w:hAnsi="Aptos"/>
                <w:sz w:val="16"/>
              </w:rPr>
              <w:t>Revenue from operations</w:t>
            </w:r>
          </w:p>
        </w:tc>
        <w:tc>
          <w:tcPr>
            <w:tcW w:type="dxa" w:w="1368"/>
            <w:vAlign w:val="top"/>
          </w:tcPr>
          <w:p>
            <w:pPr>
              <w:spacing w:after="20"/>
            </w:pPr>
            <w:r>
              <w:rPr>
                <w:rFonts w:ascii="Aptos" w:hAnsi="Aptos"/>
                <w:sz w:val="16"/>
              </w:rPr>
              <w:t>1,245.6</w:t>
            </w:r>
          </w:p>
        </w:tc>
        <w:tc>
          <w:tcPr>
            <w:tcW w:type="dxa" w:w="1368"/>
            <w:vAlign w:val="top"/>
          </w:tcPr>
          <w:p>
            <w:pPr>
              <w:spacing w:after="20"/>
            </w:pPr>
            <w:r>
              <w:rPr>
                <w:rFonts w:ascii="Aptos" w:hAnsi="Aptos"/>
                <w:sz w:val="16"/>
              </w:rPr>
              <w:t>1,108.2</w:t>
            </w:r>
          </w:p>
        </w:tc>
        <w:tc>
          <w:tcPr>
            <w:tcW w:type="dxa" w:w="1368"/>
            <w:vAlign w:val="top"/>
          </w:tcPr>
          <w:p>
            <w:pPr>
              <w:spacing w:after="20"/>
            </w:pPr>
            <w:r>
              <w:rPr>
                <w:rFonts w:ascii="Aptos" w:hAnsi="Aptos"/>
                <w:sz w:val="16"/>
              </w:rPr>
              <w:t>2,430.8</w:t>
            </w:r>
          </w:p>
        </w:tc>
        <w:tc>
          <w:tcPr>
            <w:tcW w:type="dxa" w:w="1368"/>
            <w:vAlign w:val="top"/>
          </w:tcPr>
          <w:p>
            <w:pPr>
              <w:spacing w:after="20"/>
            </w:pPr>
            <w:r>
              <w:rPr>
                <w:rFonts w:ascii="Aptos" w:hAnsi="Aptos"/>
                <w:sz w:val="16"/>
              </w:rPr>
              <w:t>2,165.4</w:t>
            </w:r>
          </w:p>
        </w:tc>
      </w:tr>
      <w:tr>
        <w:trPr>
          <w:cantSplit/>
        </w:trPr>
        <w:tc>
          <w:tcPr>
            <w:tcW w:type="dxa" w:w="3096"/>
            <w:vAlign w:val="top"/>
            <w:shd w:fill="F7F9FC"/>
          </w:tcPr>
          <w:p>
            <w:pPr>
              <w:spacing w:after="20"/>
            </w:pPr>
            <w:r>
              <w:rPr>
                <w:rFonts w:ascii="Aptos" w:hAnsi="Aptos"/>
                <w:sz w:val="16"/>
              </w:rPr>
              <w:t>Other income</w:t>
            </w:r>
          </w:p>
        </w:tc>
        <w:tc>
          <w:tcPr>
            <w:tcW w:type="dxa" w:w="1368"/>
            <w:vAlign w:val="top"/>
            <w:shd w:fill="F7F9FC"/>
          </w:tcPr>
          <w:p>
            <w:pPr>
              <w:spacing w:after="20"/>
            </w:pPr>
            <w:r>
              <w:rPr>
                <w:rFonts w:ascii="Aptos" w:hAnsi="Aptos"/>
                <w:sz w:val="16"/>
              </w:rPr>
              <w:t>18.4</w:t>
            </w:r>
          </w:p>
        </w:tc>
        <w:tc>
          <w:tcPr>
            <w:tcW w:type="dxa" w:w="1368"/>
            <w:vAlign w:val="top"/>
            <w:shd w:fill="F7F9FC"/>
          </w:tcPr>
          <w:p>
            <w:pPr>
              <w:spacing w:after="20"/>
            </w:pPr>
            <w:r>
              <w:rPr>
                <w:rFonts w:ascii="Aptos" w:hAnsi="Aptos"/>
                <w:sz w:val="16"/>
              </w:rPr>
              <w:t>15.1</w:t>
            </w:r>
          </w:p>
        </w:tc>
        <w:tc>
          <w:tcPr>
            <w:tcW w:type="dxa" w:w="1368"/>
            <w:vAlign w:val="top"/>
            <w:shd w:fill="F7F9FC"/>
          </w:tcPr>
          <w:p>
            <w:pPr>
              <w:spacing w:after="20"/>
            </w:pPr>
            <w:r>
              <w:rPr>
                <w:rFonts w:ascii="Aptos" w:hAnsi="Aptos"/>
                <w:sz w:val="16"/>
              </w:rPr>
              <w:t>35.2</w:t>
            </w:r>
          </w:p>
        </w:tc>
        <w:tc>
          <w:tcPr>
            <w:tcW w:type="dxa" w:w="1368"/>
            <w:vAlign w:val="top"/>
            <w:shd w:fill="F7F9FC"/>
          </w:tcPr>
          <w:p>
            <w:pPr>
              <w:spacing w:after="20"/>
            </w:pPr>
            <w:r>
              <w:rPr>
                <w:rFonts w:ascii="Aptos" w:hAnsi="Aptos"/>
                <w:sz w:val="16"/>
              </w:rPr>
              <w:t>29.8</w:t>
            </w:r>
          </w:p>
        </w:tc>
      </w:tr>
      <w:tr>
        <w:trPr>
          <w:cantSplit/>
        </w:trPr>
        <w:tc>
          <w:tcPr>
            <w:tcW w:type="dxa" w:w="3096"/>
            <w:vAlign w:val="top"/>
          </w:tcPr>
          <w:p>
            <w:pPr>
              <w:spacing w:after="20"/>
            </w:pPr>
            <w:r>
              <w:rPr>
                <w:rFonts w:ascii="Aptos" w:hAnsi="Aptos"/>
                <w:sz w:val="16"/>
              </w:rPr>
              <w:t>Total income</w:t>
            </w:r>
          </w:p>
        </w:tc>
        <w:tc>
          <w:tcPr>
            <w:tcW w:type="dxa" w:w="1368"/>
            <w:vAlign w:val="top"/>
          </w:tcPr>
          <w:p>
            <w:pPr>
              <w:spacing w:after="20"/>
            </w:pPr>
            <w:r>
              <w:rPr>
                <w:rFonts w:ascii="Aptos" w:hAnsi="Aptos"/>
                <w:sz w:val="16"/>
              </w:rPr>
              <w:t>1,264.0</w:t>
            </w:r>
          </w:p>
        </w:tc>
        <w:tc>
          <w:tcPr>
            <w:tcW w:type="dxa" w:w="1368"/>
            <w:vAlign w:val="top"/>
          </w:tcPr>
          <w:p>
            <w:pPr>
              <w:spacing w:after="20"/>
            </w:pPr>
            <w:r>
              <w:rPr>
                <w:rFonts w:ascii="Aptos" w:hAnsi="Aptos"/>
                <w:sz w:val="16"/>
              </w:rPr>
              <w:t>1,123.3</w:t>
            </w:r>
          </w:p>
        </w:tc>
        <w:tc>
          <w:tcPr>
            <w:tcW w:type="dxa" w:w="1368"/>
            <w:vAlign w:val="top"/>
          </w:tcPr>
          <w:p>
            <w:pPr>
              <w:spacing w:after="20"/>
            </w:pPr>
            <w:r>
              <w:rPr>
                <w:rFonts w:ascii="Aptos" w:hAnsi="Aptos"/>
                <w:sz w:val="16"/>
              </w:rPr>
              <w:t>2,466.0</w:t>
            </w:r>
          </w:p>
        </w:tc>
        <w:tc>
          <w:tcPr>
            <w:tcW w:type="dxa" w:w="1368"/>
            <w:vAlign w:val="top"/>
          </w:tcPr>
          <w:p>
            <w:pPr>
              <w:spacing w:after="20"/>
            </w:pPr>
            <w:r>
              <w:rPr>
                <w:rFonts w:ascii="Aptos" w:hAnsi="Aptos"/>
                <w:sz w:val="16"/>
              </w:rPr>
              <w:t>2,195.2</w:t>
            </w:r>
          </w:p>
        </w:tc>
      </w:tr>
      <w:tr>
        <w:trPr>
          <w:cantSplit/>
        </w:trPr>
        <w:tc>
          <w:tcPr>
            <w:tcW w:type="dxa" w:w="3096"/>
            <w:vAlign w:val="top"/>
            <w:shd w:fill="F7F9FC"/>
          </w:tcPr>
          <w:p>
            <w:pPr>
              <w:spacing w:after="20"/>
            </w:pPr>
            <w:r>
              <w:rPr>
                <w:rFonts w:ascii="Aptos" w:hAnsi="Aptos"/>
                <w:sz w:val="16"/>
              </w:rPr>
              <w:t>Profit before tax</w:t>
            </w:r>
          </w:p>
        </w:tc>
        <w:tc>
          <w:tcPr>
            <w:tcW w:type="dxa" w:w="1368"/>
            <w:vAlign w:val="top"/>
            <w:shd w:fill="F7F9FC"/>
          </w:tcPr>
          <w:p>
            <w:pPr>
              <w:spacing w:after="20"/>
            </w:pPr>
            <w:r>
              <w:rPr>
                <w:rFonts w:ascii="Aptos" w:hAnsi="Aptos"/>
                <w:sz w:val="16"/>
              </w:rPr>
              <w:t>104.8</w:t>
            </w:r>
          </w:p>
        </w:tc>
        <w:tc>
          <w:tcPr>
            <w:tcW w:type="dxa" w:w="1368"/>
            <w:vAlign w:val="top"/>
            <w:shd w:fill="F7F9FC"/>
          </w:tcPr>
          <w:p>
            <w:pPr>
              <w:spacing w:after="20"/>
            </w:pPr>
            <w:r>
              <w:rPr>
                <w:rFonts w:ascii="Aptos" w:hAnsi="Aptos"/>
                <w:sz w:val="16"/>
              </w:rPr>
              <w:t>91.6</w:t>
            </w:r>
          </w:p>
        </w:tc>
        <w:tc>
          <w:tcPr>
            <w:tcW w:type="dxa" w:w="1368"/>
            <w:vAlign w:val="top"/>
            <w:shd w:fill="F7F9FC"/>
          </w:tcPr>
          <w:p>
            <w:pPr>
              <w:spacing w:after="20"/>
            </w:pPr>
            <w:r>
              <w:rPr>
                <w:rFonts w:ascii="Aptos" w:hAnsi="Aptos"/>
                <w:sz w:val="16"/>
              </w:rPr>
              <w:t>196.2</w:t>
            </w:r>
          </w:p>
        </w:tc>
        <w:tc>
          <w:tcPr>
            <w:tcW w:type="dxa" w:w="1368"/>
            <w:vAlign w:val="top"/>
            <w:shd w:fill="F7F9FC"/>
          </w:tcPr>
          <w:p>
            <w:pPr>
              <w:spacing w:after="20"/>
            </w:pPr>
            <w:r>
              <w:rPr>
                <w:rFonts w:ascii="Aptos" w:hAnsi="Aptos"/>
                <w:sz w:val="16"/>
              </w:rPr>
              <w:t>171.3</w:t>
            </w:r>
          </w:p>
        </w:tc>
      </w:tr>
      <w:tr>
        <w:trPr>
          <w:cantSplit/>
        </w:trPr>
        <w:tc>
          <w:tcPr>
            <w:tcW w:type="dxa" w:w="3096"/>
            <w:vAlign w:val="top"/>
          </w:tcPr>
          <w:p>
            <w:pPr>
              <w:spacing w:after="20"/>
            </w:pPr>
            <w:r>
              <w:rPr>
                <w:rFonts w:ascii="Aptos" w:hAnsi="Aptos"/>
                <w:sz w:val="16"/>
              </w:rPr>
              <w:t>Profit after tax</w:t>
            </w:r>
          </w:p>
        </w:tc>
        <w:tc>
          <w:tcPr>
            <w:tcW w:type="dxa" w:w="1368"/>
            <w:vAlign w:val="top"/>
          </w:tcPr>
          <w:p>
            <w:pPr>
              <w:spacing w:after="20"/>
            </w:pPr>
            <w:r>
              <w:rPr>
                <w:rFonts w:ascii="Aptos" w:hAnsi="Aptos"/>
                <w:sz w:val="16"/>
              </w:rPr>
              <w:t>76.9</w:t>
            </w:r>
          </w:p>
        </w:tc>
        <w:tc>
          <w:tcPr>
            <w:tcW w:type="dxa" w:w="1368"/>
            <w:vAlign w:val="top"/>
          </w:tcPr>
          <w:p>
            <w:pPr>
              <w:spacing w:after="20"/>
            </w:pPr>
            <w:r>
              <w:rPr>
                <w:rFonts w:ascii="Aptos" w:hAnsi="Aptos"/>
                <w:sz w:val="16"/>
              </w:rPr>
              <w:t>67.4</w:t>
            </w:r>
          </w:p>
        </w:tc>
        <w:tc>
          <w:tcPr>
            <w:tcW w:type="dxa" w:w="1368"/>
            <w:vAlign w:val="top"/>
          </w:tcPr>
          <w:p>
            <w:pPr>
              <w:spacing w:after="20"/>
            </w:pPr>
            <w:r>
              <w:rPr>
                <w:rFonts w:ascii="Aptos" w:hAnsi="Aptos"/>
                <w:sz w:val="16"/>
              </w:rPr>
              <w:t>143.1</w:t>
            </w:r>
          </w:p>
        </w:tc>
        <w:tc>
          <w:tcPr>
            <w:tcW w:type="dxa" w:w="1368"/>
            <w:vAlign w:val="top"/>
          </w:tcPr>
          <w:p>
            <w:pPr>
              <w:spacing w:after="20"/>
            </w:pPr>
            <w:r>
              <w:rPr>
                <w:rFonts w:ascii="Aptos" w:hAnsi="Aptos"/>
                <w:sz w:val="16"/>
              </w:rPr>
              <w:t>125.8</w:t>
            </w:r>
          </w:p>
        </w:tc>
      </w:tr>
      <w:tr>
        <w:trPr>
          <w:cantSplit/>
        </w:trPr>
        <w:tc>
          <w:tcPr>
            <w:tcW w:type="dxa" w:w="3096"/>
            <w:vAlign w:val="top"/>
            <w:shd w:fill="F7F9FC"/>
          </w:tcPr>
          <w:p>
            <w:pPr>
              <w:spacing w:after="20"/>
            </w:pPr>
            <w:r>
              <w:rPr>
                <w:rFonts w:ascii="Aptos" w:hAnsi="Aptos"/>
                <w:sz w:val="16"/>
              </w:rPr>
              <w:t>Earnings per share (₹)</w:t>
            </w:r>
          </w:p>
        </w:tc>
        <w:tc>
          <w:tcPr>
            <w:tcW w:type="dxa" w:w="1368"/>
            <w:vAlign w:val="top"/>
            <w:shd w:fill="F7F9FC"/>
          </w:tcPr>
          <w:p>
            <w:pPr>
              <w:spacing w:after="20"/>
            </w:pPr>
            <w:r>
              <w:rPr>
                <w:rFonts w:ascii="Aptos" w:hAnsi="Aptos"/>
                <w:sz w:val="16"/>
              </w:rPr>
              <w:t>7.69</w:t>
            </w:r>
          </w:p>
        </w:tc>
        <w:tc>
          <w:tcPr>
            <w:tcW w:type="dxa" w:w="1368"/>
            <w:vAlign w:val="top"/>
            <w:shd w:fill="F7F9FC"/>
          </w:tcPr>
          <w:p>
            <w:pPr>
              <w:spacing w:after="20"/>
            </w:pPr>
            <w:r>
              <w:rPr>
                <w:rFonts w:ascii="Aptos" w:hAnsi="Aptos"/>
                <w:sz w:val="16"/>
              </w:rPr>
              <w:t>6.74</w:t>
            </w:r>
          </w:p>
        </w:tc>
        <w:tc>
          <w:tcPr>
            <w:tcW w:type="dxa" w:w="1368"/>
            <w:vAlign w:val="top"/>
            <w:shd w:fill="F7F9FC"/>
          </w:tcPr>
          <w:p>
            <w:pPr>
              <w:spacing w:after="20"/>
            </w:pPr>
            <w:r>
              <w:rPr>
                <w:rFonts w:ascii="Aptos" w:hAnsi="Aptos"/>
                <w:sz w:val="16"/>
              </w:rPr>
              <w:t>14.31</w:t>
            </w:r>
          </w:p>
        </w:tc>
        <w:tc>
          <w:tcPr>
            <w:tcW w:type="dxa" w:w="1368"/>
            <w:vAlign w:val="top"/>
            <w:shd w:fill="F7F9FC"/>
          </w:tcPr>
          <w:p>
            <w:pPr>
              <w:spacing w:after="20"/>
            </w:pPr>
            <w:r>
              <w:rPr>
                <w:rFonts w:ascii="Aptos" w:hAnsi="Aptos"/>
                <w:sz w:val="16"/>
              </w:rPr>
              <w:t>12.58</w:t>
            </w:r>
          </w:p>
        </w:tc>
      </w:tr>
    </w:tbl>
    <w:p>
      <w:r>
        <w:t>The Board discussed the period-on-period performance, revenue movement, profitability, and the principal assumptions and notes supporting the results. No additional director-specific comments are attributed in this sample because such comments must be captured only where they actually occurred. The Board considered the financial results and, in this fictional example, approved them for dissemination subject to the final approved versions and applicable reporting requirements being confirmed.</w:t>
      </w:r>
    </w:p>
    <w:p>
      <w:r>
        <w:t>Resolution (summary): The Board approved the unaudited standalone and consolidated financial results for the quarter and half year ended 30 September 2026, as placed before it and identified for the purpose of the record, and authorised the appropriate officers to sign, submit and disseminate the results and accompanying documents.</w:t>
      </w:r>
    </w:p>
    <w:p>
      <w:r>
        <w:t>Action owner: Chief Financial Officer / Finance team and Company Secretary. Follow-up: finalise the prescribed results package, confirm the limited review report(s), reconcile figures and notes, and complete applicable stock-exchange disclosures within the relevant timeline.</w:t>
      </w:r>
    </w:p>
    <w:p>
      <w:pPr>
        <w:pStyle w:val="Heading2"/>
      </w:pPr>
      <w:r>
        <w:t>Item 3 — To consider declaration of interim dividend for FY 2026–27</w:t>
      </w:r>
    </w:p>
    <w:p>
      <w:r>
        <w:t>The Board considered management’s proposal to declare an interim dividend of ₹1.50 per equity share of face value ₹10 each for FY 2026–27. The proposal was discussed in the context of the Company’s illustrative financial position, liquidity requirements, planned capital expenditure and applicable legal requirements. The Board’s actual deliberations, including any questions on distributable profits, cash requirements or investor impact, must be captured only if they occurred.</w:t>
      </w:r>
    </w:p>
    <w:p>
      <w:r>
        <w:t>Decision: In this fictional sample, the Board declared an interim dividend of ₹1.50 per equity share of face value ₹10 each, subject to applicable law and shareholder eligibility as determined by the Company’s records.</w:t>
      </w:r>
    </w:p>
    <w:p>
      <w:r>
        <w:t>Action owner: Chief Financial Officer, Company Secretary and registrar and transfer agent. Follow-up: verify the final dividend entitlement data, applicable tax deduction requirements, payment arrangements and required disclosures. The total outflow is not stated here because it depends on the number of eligible shares.</w:t>
      </w:r>
    </w:p>
    <w:p>
      <w:pPr>
        <w:pStyle w:val="Heading2"/>
      </w:pPr>
      <w:r>
        <w:t>Item 4 — To fix the record date for interim dividend</w:t>
      </w:r>
    </w:p>
    <w:p>
      <w:r>
        <w:t>The Board considered the proposed record date for determining shareholders eligible to receive the interim dividend. In this fictional example, the Board fixed Friday, 6 November 2026 as the record date, subject to confirmation of applicable notice requirements, exchange calendar and coordination with the registrar and transfer agent.</w:t>
      </w:r>
    </w:p>
    <w:p>
      <w:r>
        <w:t>Decision: Record date fixed as Friday, 6 November 2026 (illustrative). Action owner: Company Secretary / Investor Relations. Follow-up: issue the required exchange intimation and coordinate with relevant service providers.</w:t>
      </w:r>
    </w:p>
    <w:p>
      <w:pPr>
        <w:pStyle w:val="Heading2"/>
      </w:pPr>
      <w:r>
        <w:t>Item 5 — To consider capital expenditure for manufacturing modernisation</w:t>
      </w:r>
    </w:p>
    <w:p>
      <w:r>
        <w:t>The Chief Operating Officer presented a phased manufacturing modernisation programme covering selected equipment and controls upgrades, energy and utilities monitoring, quality traceability, preventive maintenance and selected safety improvements. The presentation described the programme’s objectives as improving process reliability, energy efficiency, product quality, worker safety and operational visibility. The programme was also described as requiring controlled connectivity and appropriate cybersecurity measures for operational technology.</w:t>
      </w:r>
    </w:p>
    <w:p>
      <w:r>
        <w:t>The Board considered the proposed expenditure ceiling, implementation sequencing, procurement controls, technical validation, operational disruption risk, safety requirements and benefit tracking. In this fictional example, the Board approved a phased capital expenditure envelope of up to ₹48 crore. Individual projects remain subject to the Company’s delegation of authority, approved budgets, procurement policy, technical and safety reviews, cybersecurity controls and any further approval required under applicable policy or law.</w:t>
      </w:r>
    </w:p>
    <w:p>
      <w:r>
        <w:t>Decision: Phased capital expenditure envelope of up to ₹48 crore approved, subject to stated controls. Action owners: Chief Operating Officer and Chief Financial Officer. Follow-up: maintain a project-wise business case, baseline KPIs, milestone plan, committed-spend report, risk register and benefits-realisation review; escalate material deviations to the Board or relevant committee.</w:t>
      </w:r>
    </w:p>
    <w:p>
      <w:pPr>
        <w:pStyle w:val="Heading2"/>
      </w:pPr>
      <w:r>
        <w:t>Item 6 — To consider appointment of Chief Financial Officer</w:t>
      </w:r>
    </w:p>
    <w:p>
      <w:r>
        <w:t>The Board considered the proposal to appoint Ms. Nisha Mehta as Chief Financial Officer and Key Managerial Personnel of the Company with effect from 1 November 2026. The proposed appointee’s professional profile and the terms placed before the Board were considered for purposes of this fictional example. The actual record should include the relevant terms, declarations, consents and any discussion required to be minuted.</w:t>
      </w:r>
    </w:p>
    <w:p>
      <w:r>
        <w:t>Decision: Appointment approved with effect from 1 November 2026, subject to completion of applicable formalities and the terms recorded in the Company’s approved documents. Action owner: Company Secretary / Human Resources / Finance. Follow-up: complete applicable exchange disclosures, statutory records, bank and auditor notifications, and any required filings with the Registrar of Companies.</w:t>
      </w:r>
    </w:p>
    <w:p>
      <w:pPr>
        <w:pStyle w:val="Heading2"/>
      </w:pPr>
      <w:r>
        <w:t>Item 7 — To review related-party transaction governance</w:t>
      </w:r>
    </w:p>
    <w:p>
      <w:r>
        <w:t>The Board reviewed the status of the Company’s related-party transaction framework and the management update on proposed transactions. The Board noted that each transaction must be assessed under the Company’s policy, applicable provisions of the Companies Act, 2013 and SEBI LODR, and the required approval route, including Audit Committee, Board or shareholder approval where applicable. No specific related-party transaction is assumed to have been approved by this sample minute beyond any transaction expressly documented in a separate approved resolution.</w:t>
      </w:r>
    </w:p>
    <w:p>
      <w:r>
        <w:t>Decision / action: Governance framework noted. Management and the Company Secretary were asked, for this illustrative sample, to maintain an up-to-date register of related parties, transaction values, approval status, commercial rationale, applicable thresholds and supporting documentation, and to escalate any transaction requiring further approval before commitment.</w:t>
      </w:r>
    </w:p>
    <w:p>
      <w:pPr>
        <w:pStyle w:val="Heading2"/>
      </w:pPr>
      <w:r>
        <w:t>Item 8 — To review enterprise risk, cybersecurity and compliance status</w:t>
      </w:r>
    </w:p>
    <w:p>
      <w:r>
        <w:t>Management presented a summary of enterprise risk, cybersecurity, operational resilience and regulatory compliance. The Board reviewed the status of remediation actions and asked management to maintain evidence of control operation, testing and closure. The details below are fictional examples of follow-up directions, not actual findings.</w:t>
      </w:r>
    </w:p>
    <w:tbl>
      <w:tblPr>
        <w:tblStyle w:val="TableGrid"/>
        <w:tblW w:type="auto" w:w="0"/>
        <w:jc w:val="center"/>
        <w:tblLook w:firstColumn="1" w:firstRow="1" w:lastColumn="0" w:lastRow="0" w:noHBand="0" w:noVBand="1" w:val="04A0"/>
      </w:tblPr>
      <w:tblGrid>
        <w:gridCol w:w="2484"/>
        <w:gridCol w:w="2484"/>
        <w:gridCol w:w="2484"/>
        <w:gridCol w:w="2484"/>
      </w:tblGrid>
      <w:tr>
        <w:trPr>
          <w:cantSplit/>
        </w:trPr>
        <w:tc>
          <w:tcPr>
            <w:tcW w:type="dxa" w:w="1872"/>
            <w:vAlign w:val="top"/>
            <w:shd w:fill="142B4A"/>
          </w:tcPr>
          <w:p>
            <w:pPr>
              <w:spacing w:after="20"/>
            </w:pPr>
            <w:r>
              <w:rPr>
                <w:rFonts w:ascii="Aptos" w:hAnsi="Aptos"/>
                <w:b/>
                <w:color w:val="FFFFFF"/>
                <w:sz w:val="16"/>
              </w:rPr>
              <w:t>Area</w:t>
            </w:r>
          </w:p>
        </w:tc>
        <w:tc>
          <w:tcPr>
            <w:tcW w:type="dxa" w:w="4464"/>
            <w:vAlign w:val="top"/>
            <w:shd w:fill="142B4A"/>
          </w:tcPr>
          <w:p>
            <w:pPr>
              <w:spacing w:after="20"/>
            </w:pPr>
            <w:r>
              <w:rPr>
                <w:rFonts w:ascii="Aptos" w:hAnsi="Aptos"/>
                <w:b/>
                <w:color w:val="FFFFFF"/>
                <w:sz w:val="16"/>
              </w:rPr>
              <w:t>Direction / action</w:t>
            </w:r>
          </w:p>
        </w:tc>
        <w:tc>
          <w:tcPr>
            <w:tcW w:type="dxa" w:w="1728"/>
            <w:vAlign w:val="top"/>
            <w:shd w:fill="142B4A"/>
          </w:tcPr>
          <w:p>
            <w:pPr>
              <w:spacing w:after="20"/>
            </w:pPr>
            <w:r>
              <w:rPr>
                <w:rFonts w:ascii="Aptos" w:hAnsi="Aptos"/>
                <w:b/>
                <w:color w:val="FFFFFF"/>
                <w:sz w:val="16"/>
              </w:rPr>
              <w:t>Illustrative owner</w:t>
            </w:r>
          </w:p>
        </w:tc>
        <w:tc>
          <w:tcPr>
            <w:tcW w:type="dxa" w:w="1296"/>
            <w:vAlign w:val="top"/>
            <w:shd w:fill="142B4A"/>
          </w:tcPr>
          <w:p>
            <w:pPr>
              <w:spacing w:after="20"/>
            </w:pPr>
            <w:r>
              <w:rPr>
                <w:rFonts w:ascii="Aptos" w:hAnsi="Aptos"/>
                <w:b/>
                <w:color w:val="FFFFFF"/>
                <w:sz w:val="16"/>
              </w:rPr>
              <w:t>Target date</w:t>
            </w:r>
          </w:p>
        </w:tc>
      </w:tr>
      <w:tr>
        <w:trPr>
          <w:cantSplit/>
        </w:trPr>
        <w:tc>
          <w:tcPr>
            <w:tcW w:type="dxa" w:w="1872"/>
            <w:vAlign w:val="top"/>
          </w:tcPr>
          <w:p>
            <w:pPr>
              <w:spacing w:after="20"/>
            </w:pPr>
            <w:r>
              <w:rPr>
                <w:rFonts w:ascii="Aptos" w:hAnsi="Aptos"/>
                <w:sz w:val="16"/>
              </w:rPr>
              <w:t>Cybersecurity remediation</w:t>
            </w:r>
          </w:p>
        </w:tc>
        <w:tc>
          <w:tcPr>
            <w:tcW w:type="dxa" w:w="4464"/>
            <w:vAlign w:val="top"/>
          </w:tcPr>
          <w:p>
            <w:pPr>
              <w:spacing w:after="20"/>
            </w:pPr>
            <w:r>
              <w:rPr>
                <w:rFonts w:ascii="Aptos" w:hAnsi="Aptos"/>
                <w:sz w:val="16"/>
              </w:rPr>
              <w:t>Prioritise high-risk vulnerabilities, document testing and escalate overdue critical items.</w:t>
            </w:r>
          </w:p>
        </w:tc>
        <w:tc>
          <w:tcPr>
            <w:tcW w:type="dxa" w:w="1728"/>
            <w:vAlign w:val="top"/>
          </w:tcPr>
          <w:p>
            <w:pPr>
              <w:spacing w:after="20"/>
            </w:pPr>
            <w:r>
              <w:rPr>
                <w:rFonts w:ascii="Aptos" w:hAnsi="Aptos"/>
                <w:sz w:val="16"/>
              </w:rPr>
              <w:t>CISO</w:t>
            </w:r>
          </w:p>
        </w:tc>
        <w:tc>
          <w:tcPr>
            <w:tcW w:type="dxa" w:w="1296"/>
            <w:vAlign w:val="top"/>
          </w:tcPr>
          <w:p>
            <w:pPr>
              <w:spacing w:after="20"/>
            </w:pPr>
            <w:r>
              <w:rPr>
                <w:rFonts w:ascii="Aptos" w:hAnsi="Aptos"/>
                <w:sz w:val="16"/>
              </w:rPr>
              <w:t>30 Nov 2026</w:t>
            </w:r>
          </w:p>
        </w:tc>
      </w:tr>
      <w:tr>
        <w:trPr>
          <w:cantSplit/>
        </w:trPr>
        <w:tc>
          <w:tcPr>
            <w:tcW w:type="dxa" w:w="1872"/>
            <w:vAlign w:val="top"/>
            <w:shd w:fill="F7F9FC"/>
          </w:tcPr>
          <w:p>
            <w:pPr>
              <w:spacing w:after="20"/>
            </w:pPr>
            <w:r>
              <w:rPr>
                <w:rFonts w:ascii="Aptos" w:hAnsi="Aptos"/>
                <w:sz w:val="16"/>
              </w:rPr>
              <w:t>Operational technology security</w:t>
            </w:r>
          </w:p>
        </w:tc>
        <w:tc>
          <w:tcPr>
            <w:tcW w:type="dxa" w:w="4464"/>
            <w:vAlign w:val="top"/>
            <w:shd w:fill="F7F9FC"/>
          </w:tcPr>
          <w:p>
            <w:pPr>
              <w:spacing w:after="20"/>
            </w:pPr>
            <w:r>
              <w:rPr>
                <w:rFonts w:ascii="Aptos" w:hAnsi="Aptos"/>
                <w:sz w:val="16"/>
              </w:rPr>
              <w:t>Complete selected plant asset inventory and review remote-access permissions.</w:t>
            </w:r>
          </w:p>
        </w:tc>
        <w:tc>
          <w:tcPr>
            <w:tcW w:type="dxa" w:w="1728"/>
            <w:vAlign w:val="top"/>
            <w:shd w:fill="F7F9FC"/>
          </w:tcPr>
          <w:p>
            <w:pPr>
              <w:spacing w:after="20"/>
            </w:pPr>
            <w:r>
              <w:rPr>
                <w:rFonts w:ascii="Aptos" w:hAnsi="Aptos"/>
                <w:sz w:val="16"/>
              </w:rPr>
              <w:t>COO / CISO</w:t>
            </w:r>
          </w:p>
        </w:tc>
        <w:tc>
          <w:tcPr>
            <w:tcW w:type="dxa" w:w="1296"/>
            <w:vAlign w:val="top"/>
            <w:shd w:fill="F7F9FC"/>
          </w:tcPr>
          <w:p>
            <w:pPr>
              <w:spacing w:after="20"/>
            </w:pPr>
            <w:r>
              <w:rPr>
                <w:rFonts w:ascii="Aptos" w:hAnsi="Aptos"/>
                <w:sz w:val="16"/>
              </w:rPr>
              <w:t>31 Dec 2026</w:t>
            </w:r>
          </w:p>
        </w:tc>
      </w:tr>
      <w:tr>
        <w:trPr>
          <w:cantSplit/>
        </w:trPr>
        <w:tc>
          <w:tcPr>
            <w:tcW w:type="dxa" w:w="1872"/>
            <w:vAlign w:val="top"/>
          </w:tcPr>
          <w:p>
            <w:pPr>
              <w:spacing w:after="20"/>
            </w:pPr>
            <w:r>
              <w:rPr>
                <w:rFonts w:ascii="Aptos" w:hAnsi="Aptos"/>
                <w:sz w:val="16"/>
              </w:rPr>
              <w:t>Compliance calendar</w:t>
            </w:r>
          </w:p>
        </w:tc>
        <w:tc>
          <w:tcPr>
            <w:tcW w:type="dxa" w:w="4464"/>
            <w:vAlign w:val="top"/>
          </w:tcPr>
          <w:p>
            <w:pPr>
              <w:spacing w:after="20"/>
            </w:pPr>
            <w:r>
              <w:rPr>
                <w:rFonts w:ascii="Aptos" w:hAnsi="Aptos"/>
                <w:sz w:val="16"/>
              </w:rPr>
              <w:t>Reconcile filings, owners, evidence and deadlines; escalate exceptions.</w:t>
            </w:r>
          </w:p>
        </w:tc>
        <w:tc>
          <w:tcPr>
            <w:tcW w:type="dxa" w:w="1728"/>
            <w:vAlign w:val="top"/>
          </w:tcPr>
          <w:p>
            <w:pPr>
              <w:spacing w:after="20"/>
            </w:pPr>
            <w:r>
              <w:rPr>
                <w:rFonts w:ascii="Aptos" w:hAnsi="Aptos"/>
                <w:sz w:val="16"/>
              </w:rPr>
              <w:t>Company Secretary / Compliance</w:t>
            </w:r>
          </w:p>
        </w:tc>
        <w:tc>
          <w:tcPr>
            <w:tcW w:type="dxa" w:w="1296"/>
            <w:vAlign w:val="top"/>
          </w:tcPr>
          <w:p>
            <w:pPr>
              <w:spacing w:after="20"/>
            </w:pPr>
            <w:r>
              <w:rPr>
                <w:rFonts w:ascii="Aptos" w:hAnsi="Aptos"/>
                <w:sz w:val="16"/>
              </w:rPr>
              <w:t>15 Nov 2026</w:t>
            </w:r>
          </w:p>
        </w:tc>
      </w:tr>
      <w:tr>
        <w:trPr>
          <w:cantSplit/>
        </w:trPr>
        <w:tc>
          <w:tcPr>
            <w:tcW w:type="dxa" w:w="1872"/>
            <w:vAlign w:val="top"/>
            <w:shd w:fill="F7F9FC"/>
          </w:tcPr>
          <w:p>
            <w:pPr>
              <w:spacing w:after="20"/>
            </w:pPr>
            <w:r>
              <w:rPr>
                <w:rFonts w:ascii="Aptos" w:hAnsi="Aptos"/>
                <w:sz w:val="16"/>
              </w:rPr>
              <w:t>Business continuity</w:t>
            </w:r>
          </w:p>
        </w:tc>
        <w:tc>
          <w:tcPr>
            <w:tcW w:type="dxa" w:w="4464"/>
            <w:vAlign w:val="top"/>
            <w:shd w:fill="F7F9FC"/>
          </w:tcPr>
          <w:p>
            <w:pPr>
              <w:spacing w:after="20"/>
            </w:pPr>
            <w:r>
              <w:rPr>
                <w:rFonts w:ascii="Aptos" w:hAnsi="Aptos"/>
                <w:sz w:val="16"/>
              </w:rPr>
              <w:t>Validate recovery arrangements for critical applications and manufacturing systems.</w:t>
            </w:r>
          </w:p>
        </w:tc>
        <w:tc>
          <w:tcPr>
            <w:tcW w:type="dxa" w:w="1728"/>
            <w:vAlign w:val="top"/>
            <w:shd w:fill="F7F9FC"/>
          </w:tcPr>
          <w:p>
            <w:pPr>
              <w:spacing w:after="20"/>
            </w:pPr>
            <w:r>
              <w:rPr>
                <w:rFonts w:ascii="Aptos" w:hAnsi="Aptos"/>
                <w:sz w:val="16"/>
              </w:rPr>
              <w:t>CTO / COO</w:t>
            </w:r>
          </w:p>
        </w:tc>
        <w:tc>
          <w:tcPr>
            <w:tcW w:type="dxa" w:w="1296"/>
            <w:vAlign w:val="top"/>
            <w:shd w:fill="F7F9FC"/>
          </w:tcPr>
          <w:p>
            <w:pPr>
              <w:spacing w:after="20"/>
            </w:pPr>
            <w:r>
              <w:rPr>
                <w:rFonts w:ascii="Aptos" w:hAnsi="Aptos"/>
                <w:sz w:val="16"/>
              </w:rPr>
              <w:t>31 Dec 2026</w:t>
            </w:r>
          </w:p>
        </w:tc>
      </w:tr>
      <w:tr>
        <w:trPr>
          <w:cantSplit/>
        </w:trPr>
        <w:tc>
          <w:tcPr>
            <w:tcW w:type="dxa" w:w="1872"/>
            <w:vAlign w:val="top"/>
          </w:tcPr>
          <w:p>
            <w:pPr>
              <w:spacing w:after="20"/>
            </w:pPr>
            <w:r>
              <w:rPr>
                <w:rFonts w:ascii="Aptos" w:hAnsi="Aptos"/>
                <w:sz w:val="16"/>
              </w:rPr>
              <w:t>Capex benefits</w:t>
            </w:r>
          </w:p>
        </w:tc>
        <w:tc>
          <w:tcPr>
            <w:tcW w:type="dxa" w:w="4464"/>
            <w:vAlign w:val="top"/>
          </w:tcPr>
          <w:p>
            <w:pPr>
              <w:spacing w:after="20"/>
            </w:pPr>
            <w:r>
              <w:rPr>
                <w:rFonts w:ascii="Aptos" w:hAnsi="Aptos"/>
                <w:sz w:val="16"/>
              </w:rPr>
              <w:t>Define baselines and verify savings and quality outcomes after commissioning.</w:t>
            </w:r>
          </w:p>
        </w:tc>
        <w:tc>
          <w:tcPr>
            <w:tcW w:type="dxa" w:w="1728"/>
            <w:vAlign w:val="top"/>
          </w:tcPr>
          <w:p>
            <w:pPr>
              <w:spacing w:after="20"/>
            </w:pPr>
            <w:r>
              <w:rPr>
                <w:rFonts w:ascii="Aptos" w:hAnsi="Aptos"/>
                <w:sz w:val="16"/>
              </w:rPr>
              <w:t>CFO / COO</w:t>
            </w:r>
          </w:p>
        </w:tc>
        <w:tc>
          <w:tcPr>
            <w:tcW w:type="dxa" w:w="1296"/>
            <w:vAlign w:val="top"/>
          </w:tcPr>
          <w:p>
            <w:pPr>
              <w:spacing w:after="20"/>
            </w:pPr>
            <w:r>
              <w:rPr>
                <w:rFonts w:ascii="Aptos" w:hAnsi="Aptos"/>
                <w:sz w:val="16"/>
              </w:rPr>
              <w:t>Quarterly</w:t>
            </w:r>
          </w:p>
        </w:tc>
      </w:tr>
    </w:tbl>
    <w:p>
      <w:r>
        <w:t>Decision: Management’s report noted and the above remediation directions recorded as illustrative actions. Action owners should report progress and closure evidence to the relevant committee or Board in accordance with the actual governance cadence. Security-sensitive technical details should be managed through controlled channels.</w:t>
      </w:r>
    </w:p>
    <w:p>
      <w:pPr>
        <w:pStyle w:val="Heading2"/>
      </w:pPr>
      <w:r>
        <w:t>Item 9 — General authorisation for filings and implementation</w:t>
      </w:r>
    </w:p>
    <w:p>
      <w:r>
        <w:t>The Board considered the need to authorise designated officers to complete the filings, notifications and procedural steps necessary to give effect to the decisions actually approved at the meeting. In this fictional example, the Board authorised the Company Secretary and Compliance Officer, Chief Financial Officer and other officers specifically authorised under the Company’s delegation of authority to act within the scope of the relevant resolutions.</w:t>
      </w:r>
    </w:p>
    <w:p>
      <w:r>
        <w:t>Decision: Designated officers authorised to make consequential filings and implement approved decisions within the scope of authority granted. No officer may exceed an approved limit, vary a material term, create a new commitment or override a matter reserved for further Board, committee or shareholder approval.</w:t>
      </w:r>
    </w:p>
    <w:p>
      <w:pPr>
        <w:pStyle w:val="Heading2"/>
      </w:pPr>
      <w:r>
        <w:t>Item 10 — Any other business with the permission of the Chair</w:t>
      </w:r>
    </w:p>
    <w:p>
      <w:r>
        <w:t>No additional matter is assumed to have been raised under this item for the purposes of this fictional sample. The actual minutes must state the matters, if any, that were taken up with the Chair’s permission and accurately record any resulting discussion or decision.</w:t>
      </w:r>
    </w:p>
    <w:p>
      <w:pPr>
        <w:pStyle w:val="Heading1"/>
      </w:pPr>
      <w:r>
        <w:t>8. Summary of Resolutions and Action Items</w:t>
      </w:r>
    </w:p>
    <w:tbl>
      <w:tblPr>
        <w:tblStyle w:val="TableGrid"/>
        <w:tblW w:type="auto" w:w="0"/>
        <w:jc w:val="center"/>
        <w:tblLook w:firstColumn="1" w:firstRow="1" w:lastColumn="0" w:lastRow="0" w:noHBand="0" w:noVBand="1" w:val="04A0"/>
      </w:tblPr>
      <w:tblGrid>
        <w:gridCol w:w="1987"/>
        <w:gridCol w:w="1987"/>
        <w:gridCol w:w="1987"/>
        <w:gridCol w:w="1987"/>
        <w:gridCol w:w="1987"/>
      </w:tblGrid>
      <w:tr>
        <w:trPr>
          <w:cantSplit/>
        </w:trPr>
        <w:tc>
          <w:tcPr>
            <w:tcW w:type="dxa" w:w="864"/>
            <w:vAlign w:val="top"/>
            <w:shd w:fill="142B4A"/>
          </w:tcPr>
          <w:p>
            <w:pPr>
              <w:spacing w:after="20"/>
            </w:pPr>
            <w:r>
              <w:rPr>
                <w:rFonts w:ascii="Aptos" w:hAnsi="Aptos"/>
                <w:b/>
                <w:color w:val="FFFFFF"/>
                <w:sz w:val="16"/>
              </w:rPr>
              <w:t>Ref.</w:t>
            </w:r>
          </w:p>
        </w:tc>
        <w:tc>
          <w:tcPr>
            <w:tcW w:type="dxa" w:w="3888"/>
            <w:vAlign w:val="top"/>
            <w:shd w:fill="142B4A"/>
          </w:tcPr>
          <w:p>
            <w:pPr>
              <w:spacing w:after="20"/>
            </w:pPr>
            <w:r>
              <w:rPr>
                <w:rFonts w:ascii="Aptos" w:hAnsi="Aptos"/>
                <w:b/>
                <w:color w:val="FFFFFF"/>
                <w:sz w:val="16"/>
              </w:rPr>
              <w:t>Resolution / action</w:t>
            </w:r>
          </w:p>
        </w:tc>
        <w:tc>
          <w:tcPr>
            <w:tcW w:type="dxa" w:w="1872"/>
            <w:vAlign w:val="top"/>
            <w:shd w:fill="142B4A"/>
          </w:tcPr>
          <w:p>
            <w:pPr>
              <w:spacing w:after="20"/>
            </w:pPr>
            <w:r>
              <w:rPr>
                <w:rFonts w:ascii="Aptos" w:hAnsi="Aptos"/>
                <w:b/>
                <w:color w:val="FFFFFF"/>
                <w:sz w:val="16"/>
              </w:rPr>
              <w:t>Owner</w:t>
            </w:r>
          </w:p>
        </w:tc>
        <w:tc>
          <w:tcPr>
            <w:tcW w:type="dxa" w:w="1440"/>
            <w:vAlign w:val="top"/>
            <w:shd w:fill="142B4A"/>
          </w:tcPr>
          <w:p>
            <w:pPr>
              <w:spacing w:after="20"/>
            </w:pPr>
            <w:r>
              <w:rPr>
                <w:rFonts w:ascii="Aptos" w:hAnsi="Aptos"/>
                <w:b/>
                <w:color w:val="FFFFFF"/>
                <w:sz w:val="16"/>
              </w:rPr>
              <w:t>Target / timing</w:t>
            </w:r>
          </w:p>
        </w:tc>
        <w:tc>
          <w:tcPr>
            <w:tcW w:type="dxa" w:w="2160"/>
            <w:vAlign w:val="top"/>
            <w:shd w:fill="142B4A"/>
          </w:tcPr>
          <w:p>
            <w:pPr>
              <w:spacing w:after="20"/>
            </w:pPr>
            <w:r>
              <w:rPr>
                <w:rFonts w:ascii="Aptos" w:hAnsi="Aptos"/>
                <w:b/>
                <w:color w:val="FFFFFF"/>
                <w:sz w:val="16"/>
              </w:rPr>
              <w:t>Status / evidence</w:t>
            </w:r>
          </w:p>
        </w:tc>
      </w:tr>
      <w:tr>
        <w:trPr>
          <w:cantSplit/>
        </w:trPr>
        <w:tc>
          <w:tcPr>
            <w:tcW w:type="dxa" w:w="864"/>
            <w:vAlign w:val="top"/>
          </w:tcPr>
          <w:p>
            <w:pPr>
              <w:spacing w:after="20"/>
            </w:pPr>
            <w:r>
              <w:rPr>
                <w:rFonts w:ascii="Aptos" w:hAnsi="Aptos"/>
                <w:sz w:val="16"/>
              </w:rPr>
              <w:t>BR-01</w:t>
            </w:r>
          </w:p>
        </w:tc>
        <w:tc>
          <w:tcPr>
            <w:tcW w:type="dxa" w:w="3888"/>
            <w:vAlign w:val="top"/>
          </w:tcPr>
          <w:p>
            <w:pPr>
              <w:spacing w:after="20"/>
            </w:pPr>
            <w:r>
              <w:rPr>
                <w:rFonts w:ascii="Aptos" w:hAnsi="Aptos"/>
                <w:sz w:val="16"/>
              </w:rPr>
              <w:t>Approve and disseminate unaudited standalone and consolidated financial results for Q2 / H1 FY27.</w:t>
            </w:r>
          </w:p>
        </w:tc>
        <w:tc>
          <w:tcPr>
            <w:tcW w:type="dxa" w:w="1872"/>
            <w:vAlign w:val="top"/>
          </w:tcPr>
          <w:p>
            <w:pPr>
              <w:spacing w:after="20"/>
            </w:pPr>
            <w:r>
              <w:rPr>
                <w:rFonts w:ascii="Aptos" w:hAnsi="Aptos"/>
                <w:sz w:val="16"/>
              </w:rPr>
              <w:t>CFO / Finance / Company Secretary</w:t>
            </w:r>
          </w:p>
        </w:tc>
        <w:tc>
          <w:tcPr>
            <w:tcW w:type="dxa" w:w="1440"/>
            <w:vAlign w:val="top"/>
          </w:tcPr>
          <w:p>
            <w:pPr>
              <w:spacing w:after="20"/>
            </w:pPr>
            <w:r>
              <w:rPr>
                <w:rFonts w:ascii="Aptos" w:hAnsi="Aptos"/>
                <w:sz w:val="16"/>
              </w:rPr>
              <w:t>Applicable filing timeline</w:t>
            </w:r>
          </w:p>
        </w:tc>
        <w:tc>
          <w:tcPr>
            <w:tcW w:type="dxa" w:w="2160"/>
            <w:vAlign w:val="top"/>
          </w:tcPr>
          <w:p>
            <w:pPr>
              <w:spacing w:after="20"/>
            </w:pPr>
            <w:r>
              <w:rPr>
                <w:rFonts w:ascii="Aptos" w:hAnsi="Aptos"/>
                <w:sz w:val="16"/>
              </w:rPr>
              <w:t>Pending final documents and actual approval verification</w:t>
            </w:r>
          </w:p>
        </w:tc>
      </w:tr>
      <w:tr>
        <w:trPr>
          <w:cantSplit/>
        </w:trPr>
        <w:tc>
          <w:tcPr>
            <w:tcW w:type="dxa" w:w="864"/>
            <w:vAlign w:val="top"/>
            <w:shd w:fill="F7F9FC"/>
          </w:tcPr>
          <w:p>
            <w:pPr>
              <w:spacing w:after="20"/>
            </w:pPr>
            <w:r>
              <w:rPr>
                <w:rFonts w:ascii="Aptos" w:hAnsi="Aptos"/>
                <w:sz w:val="16"/>
              </w:rPr>
              <w:t>BR-02</w:t>
            </w:r>
          </w:p>
        </w:tc>
        <w:tc>
          <w:tcPr>
            <w:tcW w:type="dxa" w:w="3888"/>
            <w:vAlign w:val="top"/>
            <w:shd w:fill="F7F9FC"/>
          </w:tcPr>
          <w:p>
            <w:pPr>
              <w:spacing w:after="20"/>
            </w:pPr>
            <w:r>
              <w:rPr>
                <w:rFonts w:ascii="Aptos" w:hAnsi="Aptos"/>
                <w:sz w:val="16"/>
              </w:rPr>
              <w:t>Declare interim dividend of ₹1.50 per equity share, subject to applicable law.</w:t>
            </w:r>
          </w:p>
        </w:tc>
        <w:tc>
          <w:tcPr>
            <w:tcW w:type="dxa" w:w="1872"/>
            <w:vAlign w:val="top"/>
            <w:shd w:fill="F7F9FC"/>
          </w:tcPr>
          <w:p>
            <w:pPr>
              <w:spacing w:after="20"/>
            </w:pPr>
            <w:r>
              <w:rPr>
                <w:rFonts w:ascii="Aptos" w:hAnsi="Aptos"/>
                <w:sz w:val="16"/>
              </w:rPr>
              <w:t>CFO / Company Secretary / RTA</w:t>
            </w:r>
          </w:p>
        </w:tc>
        <w:tc>
          <w:tcPr>
            <w:tcW w:type="dxa" w:w="1440"/>
            <w:vAlign w:val="top"/>
            <w:shd w:fill="F7F9FC"/>
          </w:tcPr>
          <w:p>
            <w:pPr>
              <w:spacing w:after="20"/>
            </w:pPr>
            <w:r>
              <w:rPr>
                <w:rFonts w:ascii="Aptos" w:hAnsi="Aptos"/>
                <w:sz w:val="16"/>
              </w:rPr>
              <w:t>As required by applicable law</w:t>
            </w:r>
          </w:p>
        </w:tc>
        <w:tc>
          <w:tcPr>
            <w:tcW w:type="dxa" w:w="2160"/>
            <w:vAlign w:val="top"/>
            <w:shd w:fill="F7F9FC"/>
          </w:tcPr>
          <w:p>
            <w:pPr>
              <w:spacing w:after="20"/>
            </w:pPr>
            <w:r>
              <w:rPr>
                <w:rFonts w:ascii="Aptos" w:hAnsi="Aptos"/>
                <w:sz w:val="16"/>
              </w:rPr>
              <w:t>Verify actual decision and payment details</w:t>
            </w:r>
          </w:p>
        </w:tc>
      </w:tr>
      <w:tr>
        <w:trPr>
          <w:cantSplit/>
        </w:trPr>
        <w:tc>
          <w:tcPr>
            <w:tcW w:type="dxa" w:w="864"/>
            <w:vAlign w:val="top"/>
          </w:tcPr>
          <w:p>
            <w:pPr>
              <w:spacing w:after="20"/>
            </w:pPr>
            <w:r>
              <w:rPr>
                <w:rFonts w:ascii="Aptos" w:hAnsi="Aptos"/>
                <w:sz w:val="16"/>
              </w:rPr>
              <w:t>BR-03</w:t>
            </w:r>
          </w:p>
        </w:tc>
        <w:tc>
          <w:tcPr>
            <w:tcW w:type="dxa" w:w="3888"/>
            <w:vAlign w:val="top"/>
          </w:tcPr>
          <w:p>
            <w:pPr>
              <w:spacing w:after="20"/>
            </w:pPr>
            <w:r>
              <w:rPr>
                <w:rFonts w:ascii="Aptos" w:hAnsi="Aptos"/>
                <w:sz w:val="16"/>
              </w:rPr>
              <w:t>Fix record date as 6 November 2026 (illustrative).</w:t>
            </w:r>
          </w:p>
        </w:tc>
        <w:tc>
          <w:tcPr>
            <w:tcW w:type="dxa" w:w="1872"/>
            <w:vAlign w:val="top"/>
          </w:tcPr>
          <w:p>
            <w:pPr>
              <w:spacing w:after="20"/>
            </w:pPr>
            <w:r>
              <w:rPr>
                <w:rFonts w:ascii="Aptos" w:hAnsi="Aptos"/>
                <w:sz w:val="16"/>
              </w:rPr>
              <w:t>Company Secretary / Investor Relations</w:t>
            </w:r>
          </w:p>
        </w:tc>
        <w:tc>
          <w:tcPr>
            <w:tcW w:type="dxa" w:w="1440"/>
            <w:vAlign w:val="top"/>
          </w:tcPr>
          <w:p>
            <w:pPr>
              <w:spacing w:after="20"/>
            </w:pPr>
            <w:r>
              <w:rPr>
                <w:rFonts w:ascii="Aptos" w:hAnsi="Aptos"/>
                <w:sz w:val="16"/>
              </w:rPr>
              <w:t>Applicable notice period</w:t>
            </w:r>
          </w:p>
        </w:tc>
        <w:tc>
          <w:tcPr>
            <w:tcW w:type="dxa" w:w="2160"/>
            <w:vAlign w:val="top"/>
          </w:tcPr>
          <w:p>
            <w:pPr>
              <w:spacing w:after="20"/>
            </w:pPr>
            <w:r>
              <w:rPr>
                <w:rFonts w:ascii="Aptos" w:hAnsi="Aptos"/>
                <w:sz w:val="16"/>
              </w:rPr>
              <w:t>Verify exchange intimation and calendar</w:t>
            </w:r>
          </w:p>
        </w:tc>
      </w:tr>
      <w:tr>
        <w:trPr>
          <w:cantSplit/>
        </w:trPr>
        <w:tc>
          <w:tcPr>
            <w:tcW w:type="dxa" w:w="864"/>
            <w:vAlign w:val="top"/>
            <w:shd w:fill="F7F9FC"/>
          </w:tcPr>
          <w:p>
            <w:pPr>
              <w:spacing w:after="20"/>
            </w:pPr>
            <w:r>
              <w:rPr>
                <w:rFonts w:ascii="Aptos" w:hAnsi="Aptos"/>
                <w:sz w:val="16"/>
              </w:rPr>
              <w:t>BR-04</w:t>
            </w:r>
          </w:p>
        </w:tc>
        <w:tc>
          <w:tcPr>
            <w:tcW w:type="dxa" w:w="3888"/>
            <w:vAlign w:val="top"/>
            <w:shd w:fill="F7F9FC"/>
          </w:tcPr>
          <w:p>
            <w:pPr>
              <w:spacing w:after="20"/>
            </w:pPr>
            <w:r>
              <w:rPr>
                <w:rFonts w:ascii="Aptos" w:hAnsi="Aptos"/>
                <w:sz w:val="16"/>
              </w:rPr>
              <w:t>Approve phased manufacturing modernisation capex up to ₹48 crore, subject to controls.</w:t>
            </w:r>
          </w:p>
        </w:tc>
        <w:tc>
          <w:tcPr>
            <w:tcW w:type="dxa" w:w="1872"/>
            <w:vAlign w:val="top"/>
            <w:shd w:fill="F7F9FC"/>
          </w:tcPr>
          <w:p>
            <w:pPr>
              <w:spacing w:after="20"/>
            </w:pPr>
            <w:r>
              <w:rPr>
                <w:rFonts w:ascii="Aptos" w:hAnsi="Aptos"/>
                <w:sz w:val="16"/>
              </w:rPr>
              <w:t>COO / CFO</w:t>
            </w:r>
          </w:p>
        </w:tc>
        <w:tc>
          <w:tcPr>
            <w:tcW w:type="dxa" w:w="1440"/>
            <w:vAlign w:val="top"/>
            <w:shd w:fill="F7F9FC"/>
          </w:tcPr>
          <w:p>
            <w:pPr>
              <w:spacing w:after="20"/>
            </w:pPr>
            <w:r>
              <w:rPr>
                <w:rFonts w:ascii="Aptos" w:hAnsi="Aptos"/>
                <w:sz w:val="16"/>
              </w:rPr>
              <w:t>Milestone-based</w:t>
            </w:r>
          </w:p>
        </w:tc>
        <w:tc>
          <w:tcPr>
            <w:tcW w:type="dxa" w:w="2160"/>
            <w:vAlign w:val="top"/>
            <w:shd w:fill="F7F9FC"/>
          </w:tcPr>
          <w:p>
            <w:pPr>
              <w:spacing w:after="20"/>
            </w:pPr>
            <w:r>
              <w:rPr>
                <w:rFonts w:ascii="Aptos" w:hAnsi="Aptos"/>
                <w:sz w:val="16"/>
              </w:rPr>
              <w:t>Business cases, approvals and benefits tracking</w:t>
            </w:r>
          </w:p>
        </w:tc>
      </w:tr>
      <w:tr>
        <w:trPr>
          <w:cantSplit/>
        </w:trPr>
        <w:tc>
          <w:tcPr>
            <w:tcW w:type="dxa" w:w="864"/>
            <w:vAlign w:val="top"/>
          </w:tcPr>
          <w:p>
            <w:pPr>
              <w:spacing w:after="20"/>
            </w:pPr>
            <w:r>
              <w:rPr>
                <w:rFonts w:ascii="Aptos" w:hAnsi="Aptos"/>
                <w:sz w:val="16"/>
              </w:rPr>
              <w:t>BR-05</w:t>
            </w:r>
          </w:p>
        </w:tc>
        <w:tc>
          <w:tcPr>
            <w:tcW w:type="dxa" w:w="3888"/>
            <w:vAlign w:val="top"/>
          </w:tcPr>
          <w:p>
            <w:pPr>
              <w:spacing w:after="20"/>
            </w:pPr>
            <w:r>
              <w:rPr>
                <w:rFonts w:ascii="Aptos" w:hAnsi="Aptos"/>
                <w:sz w:val="16"/>
              </w:rPr>
              <w:t>Appoint Ms. Nisha Mehta as CFO effective 1 November 2026 (illustrative).</w:t>
            </w:r>
          </w:p>
        </w:tc>
        <w:tc>
          <w:tcPr>
            <w:tcW w:type="dxa" w:w="1872"/>
            <w:vAlign w:val="top"/>
          </w:tcPr>
          <w:p>
            <w:pPr>
              <w:spacing w:after="20"/>
            </w:pPr>
            <w:r>
              <w:rPr>
                <w:rFonts w:ascii="Aptos" w:hAnsi="Aptos"/>
                <w:sz w:val="16"/>
              </w:rPr>
              <w:t>Company Secretary / HR / Finance</w:t>
            </w:r>
          </w:p>
        </w:tc>
        <w:tc>
          <w:tcPr>
            <w:tcW w:type="dxa" w:w="1440"/>
            <w:vAlign w:val="top"/>
          </w:tcPr>
          <w:p>
            <w:pPr>
              <w:spacing w:after="20"/>
            </w:pPr>
            <w:r>
              <w:rPr>
                <w:rFonts w:ascii="Aptos" w:hAnsi="Aptos"/>
                <w:sz w:val="16"/>
              </w:rPr>
              <w:t>Before / from effective date as applicable</w:t>
            </w:r>
          </w:p>
        </w:tc>
        <w:tc>
          <w:tcPr>
            <w:tcW w:type="dxa" w:w="2160"/>
            <w:vAlign w:val="top"/>
          </w:tcPr>
          <w:p>
            <w:pPr>
              <w:spacing w:after="20"/>
            </w:pPr>
            <w:r>
              <w:rPr>
                <w:rFonts w:ascii="Aptos" w:hAnsi="Aptos"/>
                <w:sz w:val="16"/>
              </w:rPr>
              <w:t>Complete formalities and disclosures</w:t>
            </w:r>
          </w:p>
        </w:tc>
      </w:tr>
      <w:tr>
        <w:trPr>
          <w:cantSplit/>
        </w:trPr>
        <w:tc>
          <w:tcPr>
            <w:tcW w:type="dxa" w:w="864"/>
            <w:vAlign w:val="top"/>
            <w:shd w:fill="F7F9FC"/>
          </w:tcPr>
          <w:p>
            <w:pPr>
              <w:spacing w:after="20"/>
            </w:pPr>
            <w:r>
              <w:rPr>
                <w:rFonts w:ascii="Aptos" w:hAnsi="Aptos"/>
                <w:sz w:val="16"/>
              </w:rPr>
              <w:t>BR-06</w:t>
            </w:r>
          </w:p>
        </w:tc>
        <w:tc>
          <w:tcPr>
            <w:tcW w:type="dxa" w:w="3888"/>
            <w:vAlign w:val="top"/>
            <w:shd w:fill="F7F9FC"/>
          </w:tcPr>
          <w:p>
            <w:pPr>
              <w:spacing w:after="20"/>
            </w:pPr>
            <w:r>
              <w:rPr>
                <w:rFonts w:ascii="Aptos" w:hAnsi="Aptos"/>
                <w:sz w:val="16"/>
              </w:rPr>
              <w:t>Authorise designated officers to implement approved decisions and make required filings within scope.</w:t>
            </w:r>
          </w:p>
        </w:tc>
        <w:tc>
          <w:tcPr>
            <w:tcW w:type="dxa" w:w="1872"/>
            <w:vAlign w:val="top"/>
            <w:shd w:fill="F7F9FC"/>
          </w:tcPr>
          <w:p>
            <w:pPr>
              <w:spacing w:after="20"/>
            </w:pPr>
            <w:r>
              <w:rPr>
                <w:rFonts w:ascii="Aptos" w:hAnsi="Aptos"/>
                <w:sz w:val="16"/>
              </w:rPr>
              <w:t>Company Secretary / authorised officers</w:t>
            </w:r>
          </w:p>
        </w:tc>
        <w:tc>
          <w:tcPr>
            <w:tcW w:type="dxa" w:w="1440"/>
            <w:vAlign w:val="top"/>
            <w:shd w:fill="F7F9FC"/>
          </w:tcPr>
          <w:p>
            <w:pPr>
              <w:spacing w:after="20"/>
            </w:pPr>
            <w:r>
              <w:rPr>
                <w:rFonts w:ascii="Aptos" w:hAnsi="Aptos"/>
                <w:sz w:val="16"/>
              </w:rPr>
              <w:t>As required</w:t>
            </w:r>
          </w:p>
        </w:tc>
        <w:tc>
          <w:tcPr>
            <w:tcW w:type="dxa" w:w="2160"/>
            <w:vAlign w:val="top"/>
            <w:shd w:fill="F7F9FC"/>
          </w:tcPr>
          <w:p>
            <w:pPr>
              <w:spacing w:after="20"/>
            </w:pPr>
            <w:r>
              <w:rPr>
                <w:rFonts w:ascii="Aptos" w:hAnsi="Aptos"/>
                <w:sz w:val="16"/>
              </w:rPr>
              <w:t>Retain filing acknowledgements and signed records</w:t>
            </w:r>
          </w:p>
        </w:tc>
      </w:tr>
      <w:tr>
        <w:trPr>
          <w:cantSplit/>
        </w:trPr>
        <w:tc>
          <w:tcPr>
            <w:tcW w:type="dxa" w:w="864"/>
            <w:vAlign w:val="top"/>
          </w:tcPr>
          <w:p>
            <w:pPr>
              <w:spacing w:after="20"/>
            </w:pPr>
            <w:r>
              <w:rPr>
                <w:rFonts w:ascii="Aptos" w:hAnsi="Aptos"/>
                <w:sz w:val="16"/>
              </w:rPr>
              <w:t>ACT-01</w:t>
            </w:r>
          </w:p>
        </w:tc>
        <w:tc>
          <w:tcPr>
            <w:tcW w:type="dxa" w:w="3888"/>
            <w:vAlign w:val="top"/>
          </w:tcPr>
          <w:p>
            <w:pPr>
              <w:spacing w:after="20"/>
            </w:pPr>
            <w:r>
              <w:rPr>
                <w:rFonts w:ascii="Aptos" w:hAnsi="Aptos"/>
                <w:sz w:val="16"/>
              </w:rPr>
              <w:t>Track risk and cybersecurity remediation actions.</w:t>
            </w:r>
          </w:p>
        </w:tc>
        <w:tc>
          <w:tcPr>
            <w:tcW w:type="dxa" w:w="1872"/>
            <w:vAlign w:val="top"/>
          </w:tcPr>
          <w:p>
            <w:pPr>
              <w:spacing w:after="20"/>
            </w:pPr>
            <w:r>
              <w:rPr>
                <w:rFonts w:ascii="Aptos" w:hAnsi="Aptos"/>
                <w:sz w:val="16"/>
              </w:rPr>
              <w:t>Relevant control owners</w:t>
            </w:r>
          </w:p>
        </w:tc>
        <w:tc>
          <w:tcPr>
            <w:tcW w:type="dxa" w:w="1440"/>
            <w:vAlign w:val="top"/>
          </w:tcPr>
          <w:p>
            <w:pPr>
              <w:spacing w:after="20"/>
            </w:pPr>
            <w:r>
              <w:rPr>
                <w:rFonts w:ascii="Aptos" w:hAnsi="Aptos"/>
                <w:sz w:val="16"/>
              </w:rPr>
              <w:t>Dates shown under Item 8</w:t>
            </w:r>
          </w:p>
        </w:tc>
        <w:tc>
          <w:tcPr>
            <w:tcW w:type="dxa" w:w="2160"/>
            <w:vAlign w:val="top"/>
          </w:tcPr>
          <w:p>
            <w:pPr>
              <w:spacing w:after="20"/>
            </w:pPr>
            <w:r>
              <w:rPr>
                <w:rFonts w:ascii="Aptos" w:hAnsi="Aptos"/>
                <w:sz w:val="16"/>
              </w:rPr>
              <w:t>Report closure evidence</w:t>
            </w:r>
          </w:p>
        </w:tc>
      </w:tr>
      <w:tr>
        <w:trPr>
          <w:cantSplit/>
        </w:trPr>
        <w:tc>
          <w:tcPr>
            <w:tcW w:type="dxa" w:w="864"/>
            <w:vAlign w:val="top"/>
            <w:shd w:fill="F7F9FC"/>
          </w:tcPr>
          <w:p>
            <w:pPr>
              <w:spacing w:after="20"/>
            </w:pPr>
            <w:r>
              <w:rPr>
                <w:rFonts w:ascii="Aptos" w:hAnsi="Aptos"/>
                <w:sz w:val="16"/>
              </w:rPr>
              <w:t>ACT-02</w:t>
            </w:r>
          </w:p>
        </w:tc>
        <w:tc>
          <w:tcPr>
            <w:tcW w:type="dxa" w:w="3888"/>
            <w:vAlign w:val="top"/>
            <w:shd w:fill="F7F9FC"/>
          </w:tcPr>
          <w:p>
            <w:pPr>
              <w:spacing w:after="20"/>
            </w:pPr>
            <w:r>
              <w:rPr>
                <w:rFonts w:ascii="Aptos" w:hAnsi="Aptos"/>
                <w:sz w:val="16"/>
              </w:rPr>
              <w:t>Maintain related-party transaction register and approval checks.</w:t>
            </w:r>
          </w:p>
        </w:tc>
        <w:tc>
          <w:tcPr>
            <w:tcW w:type="dxa" w:w="1872"/>
            <w:vAlign w:val="top"/>
            <w:shd w:fill="F7F9FC"/>
          </w:tcPr>
          <w:p>
            <w:pPr>
              <w:spacing w:after="20"/>
            </w:pPr>
            <w:r>
              <w:rPr>
                <w:rFonts w:ascii="Aptos" w:hAnsi="Aptos"/>
                <w:sz w:val="16"/>
              </w:rPr>
              <w:t>Company Secretary / Finance</w:t>
            </w:r>
          </w:p>
        </w:tc>
        <w:tc>
          <w:tcPr>
            <w:tcW w:type="dxa" w:w="1440"/>
            <w:vAlign w:val="top"/>
            <w:shd w:fill="F7F9FC"/>
          </w:tcPr>
          <w:p>
            <w:pPr>
              <w:spacing w:after="20"/>
            </w:pPr>
            <w:r>
              <w:rPr>
                <w:rFonts w:ascii="Aptos" w:hAnsi="Aptos"/>
                <w:sz w:val="16"/>
              </w:rPr>
              <w:t>Ongoing / before commitment</w:t>
            </w:r>
          </w:p>
        </w:tc>
        <w:tc>
          <w:tcPr>
            <w:tcW w:type="dxa" w:w="2160"/>
            <w:vAlign w:val="top"/>
            <w:shd w:fill="F7F9FC"/>
          </w:tcPr>
          <w:p>
            <w:pPr>
              <w:spacing w:after="20"/>
            </w:pPr>
            <w:r>
              <w:rPr>
                <w:rFonts w:ascii="Aptos" w:hAnsi="Aptos"/>
                <w:sz w:val="16"/>
              </w:rPr>
              <w:t>Register and supporting documents</w:t>
            </w:r>
          </w:p>
        </w:tc>
      </w:tr>
    </w:tbl>
    <w:p>
      <w:pPr>
        <w:pStyle w:val="Heading1"/>
      </w:pPr>
      <w:r>
        <w:t>9. Closure of Meeting</w:t>
      </w:r>
    </w:p>
    <w:p>
      <w:r>
        <w:t>There being no other business assumed to have been taken up in this fictional example, the meeting was stated to have concluded at 2:35 p.m. IST with a vote of thanks to the Chair. The actual closing time and any final remarks must be confirmed against the meeting record.</w:t>
      </w:r>
    </w:p>
    <w:p>
      <w:pPr>
        <w:pStyle w:val="Heading1"/>
      </w:pPr>
      <w:r>
        <w:t>10. Drafting, Approval and Statutory Record Controls</w:t>
      </w:r>
    </w:p>
    <w:p>
      <w:pPr>
        <w:pStyle w:val="ListBullet"/>
        <w:spacing w:after="40"/>
      </w:pPr>
      <w:r>
        <w:t>These minutes remain a draft sample and have not been approved, signed or entered in the Company’s statutory minutes book.</w:t>
      </w:r>
    </w:p>
    <w:p>
      <w:pPr>
        <w:pStyle w:val="ListBullet"/>
        <w:spacing w:after="40"/>
      </w:pPr>
      <w:r>
        <w:t>Before finalisation, verify attendance, quorum, notice, participation mode, interested-director disclosures, the agenda sequence, exact decisions, voting/dissent if any, and all supporting records.</w:t>
      </w:r>
    </w:p>
    <w:p>
      <w:pPr>
        <w:pStyle w:val="ListBullet"/>
        <w:spacing w:after="40"/>
      </w:pPr>
      <w:r>
        <w:t>The final minutes must comply with the Companies Act, 2013, applicable rules, Secretarial Standards (including the applicable version of SS-1) and the Company’s Articles and governance policies.</w:t>
      </w:r>
    </w:p>
    <w:p>
      <w:pPr>
        <w:pStyle w:val="ListBullet"/>
        <w:spacing w:after="40"/>
      </w:pPr>
      <w:r>
        <w:t>The statutory timeline for entering minutes, signing requirements, circulation and access should be checked against the law and standards applicable at the relevant time.</w:t>
      </w:r>
    </w:p>
    <w:p>
      <w:pPr>
        <w:pStyle w:val="ListBullet"/>
        <w:spacing w:after="40"/>
      </w:pPr>
      <w:r>
        <w:t>The minutes should not include speculative or invented discussion. Record the substance of proceedings accurately and in a manner consistent with applicable requirements.</w:t>
      </w:r>
    </w:p>
    <w:p>
      <w:pPr>
        <w:pStyle w:val="ListBullet"/>
        <w:spacing w:after="40"/>
      </w:pPr>
      <w:r>
        <w:t>Keep the approved minutes, attendance records, notice, agenda papers, signed resolutions, CTCs, exchange acknowledgements and action tracker in controlled repositories with appropriate access restrictions.</w:t>
      </w:r>
    </w:p>
    <w:p>
      <w:pPr>
        <w:pStyle w:val="Heading1"/>
      </w:pPr>
      <w:r>
        <w:t>11. Signature Block — For Completion Only After Proper Approval</w:t>
      </w:r>
    </w:p>
    <w:p>
      <w:r>
        <w:t>Signed at: [Insert actual place]</w:t>
      </w:r>
    </w:p>
    <w:p>
      <w:r>
        <w:t>Date of signing: [Insert actual date in accordance with applicable requirements]</w:t>
      </w:r>
    </w:p>
    <w:p>
      <w:r>
        <w:br/>
        <w:t>________________________________________</w:t>
      </w:r>
    </w:p>
    <w:p>
      <w:r>
        <w:t>Mr. Arvind Rao (fictional) / Chairperson of the meeting or other person duly authorised under applicable requirements</w:t>
      </w:r>
    </w:p>
    <w:p>
      <w:r>
        <w:t>For and on behalf of the Board of Directors of Silverline Industries Limited</w:t>
      </w:r>
    </w:p>
    <w:p>
      <w:r>
        <w:t>DO NOT SIGN THIS SAMPLE. The identity of the signatory, date and place must be completed only through the actual statutory process after review and approval.</w:t>
      </w:r>
    </w:p>
    <w:p>
      <w:pPr>
        <w:pStyle w:val="Heading1"/>
      </w:pPr>
      <w:r>
        <w:t>Appendix A — Supporting Records Checklist</w:t>
      </w:r>
    </w:p>
    <w:tbl>
      <w:tblPr>
        <w:tblStyle w:val="TableGrid"/>
        <w:tblW w:type="auto" w:w="0"/>
        <w:jc w:val="center"/>
        <w:tblLook w:firstColumn="1" w:firstRow="1" w:lastColumn="0" w:lastRow="0" w:noHBand="0" w:noVBand="1" w:val="04A0"/>
      </w:tblPr>
      <w:tblGrid>
        <w:gridCol w:w="3312"/>
        <w:gridCol w:w="3312"/>
        <w:gridCol w:w="3312"/>
      </w:tblGrid>
      <w:tr>
        <w:trPr>
          <w:cantSplit/>
        </w:trPr>
        <w:tc>
          <w:tcPr>
            <w:tcW w:type="dxa" w:w="2448"/>
            <w:vAlign w:val="top"/>
            <w:shd w:fill="142B4A"/>
          </w:tcPr>
          <w:p>
            <w:pPr>
              <w:spacing w:after="20"/>
            </w:pPr>
            <w:r>
              <w:rPr>
                <w:rFonts w:ascii="Aptos" w:hAnsi="Aptos"/>
                <w:b/>
                <w:color w:val="FFFFFF"/>
                <w:sz w:val="16"/>
              </w:rPr>
              <w:t>Record</w:t>
            </w:r>
          </w:p>
        </w:tc>
        <w:tc>
          <w:tcPr>
            <w:tcW w:type="dxa" w:w="5760"/>
            <w:vAlign w:val="top"/>
            <w:shd w:fill="142B4A"/>
          </w:tcPr>
          <w:p>
            <w:pPr>
              <w:spacing w:after="20"/>
            </w:pPr>
            <w:r>
              <w:rPr>
                <w:rFonts w:ascii="Aptos" w:hAnsi="Aptos"/>
                <w:b/>
                <w:color w:val="FFFFFF"/>
                <w:sz w:val="16"/>
              </w:rPr>
              <w:t>Expected control / verification</w:t>
            </w:r>
          </w:p>
        </w:tc>
        <w:tc>
          <w:tcPr>
            <w:tcW w:type="dxa" w:w="1440"/>
            <w:vAlign w:val="top"/>
            <w:shd w:fill="142B4A"/>
          </w:tcPr>
          <w:p>
            <w:pPr>
              <w:spacing w:after="20"/>
            </w:pPr>
            <w:r>
              <w:rPr>
                <w:rFonts w:ascii="Aptos" w:hAnsi="Aptos"/>
                <w:b/>
                <w:color w:val="FFFFFF"/>
                <w:sz w:val="16"/>
              </w:rPr>
              <w:t>Status (sample)</w:t>
            </w:r>
          </w:p>
        </w:tc>
      </w:tr>
      <w:tr>
        <w:trPr>
          <w:cantSplit/>
        </w:trPr>
        <w:tc>
          <w:tcPr>
            <w:tcW w:type="dxa" w:w="2448"/>
            <w:vAlign w:val="top"/>
          </w:tcPr>
          <w:p>
            <w:pPr>
              <w:spacing w:after="20"/>
            </w:pPr>
            <w:r>
              <w:rPr>
                <w:rFonts w:ascii="Aptos" w:hAnsi="Aptos"/>
                <w:sz w:val="16"/>
              </w:rPr>
              <w:t>Notice and proof of delivery</w:t>
            </w:r>
          </w:p>
        </w:tc>
        <w:tc>
          <w:tcPr>
            <w:tcW w:type="dxa" w:w="5760"/>
            <w:vAlign w:val="top"/>
          </w:tcPr>
          <w:p>
            <w:pPr>
              <w:spacing w:after="20"/>
            </w:pPr>
            <w:r>
              <w:rPr>
                <w:rFonts w:ascii="Aptos" w:hAnsi="Aptos"/>
                <w:sz w:val="16"/>
              </w:rPr>
              <w:t>Verify date, recipients, method and any applicable shorter-notice process.</w:t>
            </w:r>
          </w:p>
        </w:tc>
        <w:tc>
          <w:tcPr>
            <w:tcW w:type="dxa" w:w="1440"/>
            <w:vAlign w:val="top"/>
          </w:tcPr>
          <w:p>
            <w:pPr>
              <w:spacing w:after="20"/>
            </w:pPr>
            <w:r>
              <w:rPr>
                <w:rFonts w:ascii="Aptos" w:hAnsi="Aptos"/>
                <w:sz w:val="16"/>
              </w:rPr>
              <w:t>To verify</w:t>
            </w:r>
          </w:p>
        </w:tc>
      </w:tr>
      <w:tr>
        <w:trPr>
          <w:cantSplit/>
        </w:trPr>
        <w:tc>
          <w:tcPr>
            <w:tcW w:type="dxa" w:w="2448"/>
            <w:vAlign w:val="top"/>
            <w:shd w:fill="F7F9FC"/>
          </w:tcPr>
          <w:p>
            <w:pPr>
              <w:spacing w:after="20"/>
            </w:pPr>
            <w:r>
              <w:rPr>
                <w:rFonts w:ascii="Aptos" w:hAnsi="Aptos"/>
                <w:sz w:val="16"/>
              </w:rPr>
              <w:t>Agenda and agenda notes</w:t>
            </w:r>
          </w:p>
        </w:tc>
        <w:tc>
          <w:tcPr>
            <w:tcW w:type="dxa" w:w="5760"/>
            <w:vAlign w:val="top"/>
            <w:shd w:fill="F7F9FC"/>
          </w:tcPr>
          <w:p>
            <w:pPr>
              <w:spacing w:after="20"/>
            </w:pPr>
            <w:r>
              <w:rPr>
                <w:rFonts w:ascii="Aptos" w:hAnsi="Aptos"/>
                <w:sz w:val="16"/>
              </w:rPr>
              <w:t>Confirm version circulated and any supplementary agenda papers.</w:t>
            </w:r>
          </w:p>
        </w:tc>
        <w:tc>
          <w:tcPr>
            <w:tcW w:type="dxa" w:w="1440"/>
            <w:vAlign w:val="top"/>
            <w:shd w:fill="F7F9FC"/>
          </w:tcPr>
          <w:p>
            <w:pPr>
              <w:spacing w:after="20"/>
            </w:pPr>
            <w:r>
              <w:rPr>
                <w:rFonts w:ascii="Aptos" w:hAnsi="Aptos"/>
                <w:sz w:val="16"/>
              </w:rPr>
              <w:t>To verify</w:t>
            </w:r>
          </w:p>
        </w:tc>
      </w:tr>
      <w:tr>
        <w:trPr>
          <w:cantSplit/>
        </w:trPr>
        <w:tc>
          <w:tcPr>
            <w:tcW w:type="dxa" w:w="2448"/>
            <w:vAlign w:val="top"/>
          </w:tcPr>
          <w:p>
            <w:pPr>
              <w:spacing w:after="20"/>
            </w:pPr>
            <w:r>
              <w:rPr>
                <w:rFonts w:ascii="Aptos" w:hAnsi="Aptos"/>
                <w:sz w:val="16"/>
              </w:rPr>
              <w:t>Attendance register / VC records</w:t>
            </w:r>
          </w:p>
        </w:tc>
        <w:tc>
          <w:tcPr>
            <w:tcW w:type="dxa" w:w="5760"/>
            <w:vAlign w:val="top"/>
          </w:tcPr>
          <w:p>
            <w:pPr>
              <w:spacing w:after="20"/>
            </w:pPr>
            <w:r>
              <w:rPr>
                <w:rFonts w:ascii="Aptos" w:hAnsi="Aptos"/>
                <w:sz w:val="16"/>
              </w:rPr>
              <w:t>Confirm attendance, identity, mode, joining/leaving times and quorum.</w:t>
            </w:r>
          </w:p>
        </w:tc>
        <w:tc>
          <w:tcPr>
            <w:tcW w:type="dxa" w:w="1440"/>
            <w:vAlign w:val="top"/>
          </w:tcPr>
          <w:p>
            <w:pPr>
              <w:spacing w:after="20"/>
            </w:pPr>
            <w:r>
              <w:rPr>
                <w:rFonts w:ascii="Aptos" w:hAnsi="Aptos"/>
                <w:sz w:val="16"/>
              </w:rPr>
              <w:t>To verify</w:t>
            </w:r>
          </w:p>
        </w:tc>
      </w:tr>
      <w:tr>
        <w:trPr>
          <w:cantSplit/>
        </w:trPr>
        <w:tc>
          <w:tcPr>
            <w:tcW w:type="dxa" w:w="2448"/>
            <w:vAlign w:val="top"/>
            <w:shd w:fill="F7F9FC"/>
          </w:tcPr>
          <w:p>
            <w:pPr>
              <w:spacing w:after="20"/>
            </w:pPr>
            <w:r>
              <w:rPr>
                <w:rFonts w:ascii="Aptos" w:hAnsi="Aptos"/>
                <w:sz w:val="16"/>
              </w:rPr>
              <w:t>Declarations of interest</w:t>
            </w:r>
          </w:p>
        </w:tc>
        <w:tc>
          <w:tcPr>
            <w:tcW w:type="dxa" w:w="5760"/>
            <w:vAlign w:val="top"/>
            <w:shd w:fill="F7F9FC"/>
          </w:tcPr>
          <w:p>
            <w:pPr>
              <w:spacing w:after="20"/>
            </w:pPr>
            <w:r>
              <w:rPr>
                <w:rFonts w:ascii="Aptos" w:hAnsi="Aptos"/>
                <w:sz w:val="16"/>
              </w:rPr>
              <w:t>Check any director interest and restrictions on participation or voting.</w:t>
            </w:r>
          </w:p>
        </w:tc>
        <w:tc>
          <w:tcPr>
            <w:tcW w:type="dxa" w:w="1440"/>
            <w:vAlign w:val="top"/>
            <w:shd w:fill="F7F9FC"/>
          </w:tcPr>
          <w:p>
            <w:pPr>
              <w:spacing w:after="20"/>
            </w:pPr>
            <w:r>
              <w:rPr>
                <w:rFonts w:ascii="Aptos" w:hAnsi="Aptos"/>
                <w:sz w:val="16"/>
              </w:rPr>
              <w:t>To verify</w:t>
            </w:r>
          </w:p>
        </w:tc>
      </w:tr>
      <w:tr>
        <w:trPr>
          <w:cantSplit/>
        </w:trPr>
        <w:tc>
          <w:tcPr>
            <w:tcW w:type="dxa" w:w="2448"/>
            <w:vAlign w:val="top"/>
          </w:tcPr>
          <w:p>
            <w:pPr>
              <w:spacing w:after="20"/>
            </w:pPr>
            <w:r>
              <w:rPr>
                <w:rFonts w:ascii="Aptos" w:hAnsi="Aptos"/>
                <w:sz w:val="16"/>
              </w:rPr>
              <w:t>Audit Committee recommendation</w:t>
            </w:r>
          </w:p>
        </w:tc>
        <w:tc>
          <w:tcPr>
            <w:tcW w:type="dxa" w:w="5760"/>
            <w:vAlign w:val="top"/>
          </w:tcPr>
          <w:p>
            <w:pPr>
              <w:spacing w:after="20"/>
            </w:pPr>
            <w:r>
              <w:rPr>
                <w:rFonts w:ascii="Aptos" w:hAnsi="Aptos"/>
                <w:sz w:val="16"/>
              </w:rPr>
              <w:t>Confirm recommendation and relevant supporting papers for financial results.</w:t>
            </w:r>
          </w:p>
        </w:tc>
        <w:tc>
          <w:tcPr>
            <w:tcW w:type="dxa" w:w="1440"/>
            <w:vAlign w:val="top"/>
          </w:tcPr>
          <w:p>
            <w:pPr>
              <w:spacing w:after="20"/>
            </w:pPr>
            <w:r>
              <w:rPr>
                <w:rFonts w:ascii="Aptos" w:hAnsi="Aptos"/>
                <w:sz w:val="16"/>
              </w:rPr>
              <w:t>To verify</w:t>
            </w:r>
          </w:p>
        </w:tc>
      </w:tr>
      <w:tr>
        <w:trPr>
          <w:cantSplit/>
        </w:trPr>
        <w:tc>
          <w:tcPr>
            <w:tcW w:type="dxa" w:w="2448"/>
            <w:vAlign w:val="top"/>
            <w:shd w:fill="F7F9FC"/>
          </w:tcPr>
          <w:p>
            <w:pPr>
              <w:spacing w:after="20"/>
            </w:pPr>
            <w:r>
              <w:rPr>
                <w:rFonts w:ascii="Aptos" w:hAnsi="Aptos"/>
                <w:sz w:val="16"/>
              </w:rPr>
              <w:t>Financial results and auditor report(s)</w:t>
            </w:r>
          </w:p>
        </w:tc>
        <w:tc>
          <w:tcPr>
            <w:tcW w:type="dxa" w:w="5760"/>
            <w:vAlign w:val="top"/>
            <w:shd w:fill="F7F9FC"/>
          </w:tcPr>
          <w:p>
            <w:pPr>
              <w:spacing w:after="20"/>
            </w:pPr>
            <w:r>
              <w:rPr>
                <w:rFonts w:ascii="Aptos" w:hAnsi="Aptos"/>
                <w:sz w:val="16"/>
              </w:rPr>
              <w:t>Retain final signed/approved versions and reconcile to the Board decision.</w:t>
            </w:r>
          </w:p>
        </w:tc>
        <w:tc>
          <w:tcPr>
            <w:tcW w:type="dxa" w:w="1440"/>
            <w:vAlign w:val="top"/>
            <w:shd w:fill="F7F9FC"/>
          </w:tcPr>
          <w:p>
            <w:pPr>
              <w:spacing w:after="20"/>
            </w:pPr>
            <w:r>
              <w:rPr>
                <w:rFonts w:ascii="Aptos" w:hAnsi="Aptos"/>
                <w:sz w:val="16"/>
              </w:rPr>
              <w:t>To verify</w:t>
            </w:r>
          </w:p>
        </w:tc>
      </w:tr>
      <w:tr>
        <w:trPr>
          <w:cantSplit/>
        </w:trPr>
        <w:tc>
          <w:tcPr>
            <w:tcW w:type="dxa" w:w="2448"/>
            <w:vAlign w:val="top"/>
          </w:tcPr>
          <w:p>
            <w:pPr>
              <w:spacing w:after="20"/>
            </w:pPr>
            <w:r>
              <w:rPr>
                <w:rFonts w:ascii="Aptos" w:hAnsi="Aptos"/>
                <w:sz w:val="16"/>
              </w:rPr>
              <w:t>Dividend and record-date materials</w:t>
            </w:r>
          </w:p>
        </w:tc>
        <w:tc>
          <w:tcPr>
            <w:tcW w:type="dxa" w:w="5760"/>
            <w:vAlign w:val="top"/>
          </w:tcPr>
          <w:p>
            <w:pPr>
              <w:spacing w:after="20"/>
            </w:pPr>
            <w:r>
              <w:rPr>
                <w:rFonts w:ascii="Aptos" w:hAnsi="Aptos"/>
                <w:sz w:val="16"/>
              </w:rPr>
              <w:t>Confirm decision, dates, corporate-action coordination and disclosures.</w:t>
            </w:r>
          </w:p>
        </w:tc>
        <w:tc>
          <w:tcPr>
            <w:tcW w:type="dxa" w:w="1440"/>
            <w:vAlign w:val="top"/>
          </w:tcPr>
          <w:p>
            <w:pPr>
              <w:spacing w:after="20"/>
            </w:pPr>
            <w:r>
              <w:rPr>
                <w:rFonts w:ascii="Aptos" w:hAnsi="Aptos"/>
                <w:sz w:val="16"/>
              </w:rPr>
              <w:t>To verify</w:t>
            </w:r>
          </w:p>
        </w:tc>
      </w:tr>
      <w:tr>
        <w:trPr>
          <w:cantSplit/>
        </w:trPr>
        <w:tc>
          <w:tcPr>
            <w:tcW w:type="dxa" w:w="2448"/>
            <w:vAlign w:val="top"/>
            <w:shd w:fill="F7F9FC"/>
          </w:tcPr>
          <w:p>
            <w:pPr>
              <w:spacing w:after="20"/>
            </w:pPr>
            <w:r>
              <w:rPr>
                <w:rFonts w:ascii="Aptos" w:hAnsi="Aptos"/>
                <w:sz w:val="16"/>
              </w:rPr>
              <w:t>Capex proposal and approvals</w:t>
            </w:r>
          </w:p>
        </w:tc>
        <w:tc>
          <w:tcPr>
            <w:tcW w:type="dxa" w:w="5760"/>
            <w:vAlign w:val="top"/>
            <w:shd w:fill="F7F9FC"/>
          </w:tcPr>
          <w:p>
            <w:pPr>
              <w:spacing w:after="20"/>
            </w:pPr>
            <w:r>
              <w:rPr>
                <w:rFonts w:ascii="Aptos" w:hAnsi="Aptos"/>
                <w:sz w:val="16"/>
              </w:rPr>
              <w:t>Retain business case, financial assessment, scope, limits and controls.</w:t>
            </w:r>
          </w:p>
        </w:tc>
        <w:tc>
          <w:tcPr>
            <w:tcW w:type="dxa" w:w="1440"/>
            <w:vAlign w:val="top"/>
            <w:shd w:fill="F7F9FC"/>
          </w:tcPr>
          <w:p>
            <w:pPr>
              <w:spacing w:after="20"/>
            </w:pPr>
            <w:r>
              <w:rPr>
                <w:rFonts w:ascii="Aptos" w:hAnsi="Aptos"/>
                <w:sz w:val="16"/>
              </w:rPr>
              <w:t>To verify</w:t>
            </w:r>
          </w:p>
        </w:tc>
      </w:tr>
      <w:tr>
        <w:trPr>
          <w:cantSplit/>
        </w:trPr>
        <w:tc>
          <w:tcPr>
            <w:tcW w:type="dxa" w:w="2448"/>
            <w:vAlign w:val="top"/>
          </w:tcPr>
          <w:p>
            <w:pPr>
              <w:spacing w:after="20"/>
            </w:pPr>
            <w:r>
              <w:rPr>
                <w:rFonts w:ascii="Aptos" w:hAnsi="Aptos"/>
                <w:sz w:val="16"/>
              </w:rPr>
              <w:t>CFO appointment documents</w:t>
            </w:r>
          </w:p>
        </w:tc>
        <w:tc>
          <w:tcPr>
            <w:tcW w:type="dxa" w:w="5760"/>
            <w:vAlign w:val="top"/>
          </w:tcPr>
          <w:p>
            <w:pPr>
              <w:spacing w:after="20"/>
            </w:pPr>
            <w:r>
              <w:rPr>
                <w:rFonts w:ascii="Aptos" w:hAnsi="Aptos"/>
                <w:sz w:val="16"/>
              </w:rPr>
              <w:t>Retain appointment terms, consent/declarations and applicable filing evidence.</w:t>
            </w:r>
          </w:p>
        </w:tc>
        <w:tc>
          <w:tcPr>
            <w:tcW w:type="dxa" w:w="1440"/>
            <w:vAlign w:val="top"/>
          </w:tcPr>
          <w:p>
            <w:pPr>
              <w:spacing w:after="20"/>
            </w:pPr>
            <w:r>
              <w:rPr>
                <w:rFonts w:ascii="Aptos" w:hAnsi="Aptos"/>
                <w:sz w:val="16"/>
              </w:rPr>
              <w:t>To verify</w:t>
            </w:r>
          </w:p>
        </w:tc>
      </w:tr>
      <w:tr>
        <w:trPr>
          <w:cantSplit/>
        </w:trPr>
        <w:tc>
          <w:tcPr>
            <w:tcW w:type="dxa" w:w="2448"/>
            <w:vAlign w:val="top"/>
            <w:shd w:fill="F7F9FC"/>
          </w:tcPr>
          <w:p>
            <w:pPr>
              <w:spacing w:after="20"/>
            </w:pPr>
            <w:r>
              <w:rPr>
                <w:rFonts w:ascii="Aptos" w:hAnsi="Aptos"/>
                <w:sz w:val="16"/>
              </w:rPr>
              <w:t>Resolution extracts / CTCs</w:t>
            </w:r>
          </w:p>
        </w:tc>
        <w:tc>
          <w:tcPr>
            <w:tcW w:type="dxa" w:w="5760"/>
            <w:vAlign w:val="top"/>
            <w:shd w:fill="F7F9FC"/>
          </w:tcPr>
          <w:p>
            <w:pPr>
              <w:spacing w:after="20"/>
            </w:pPr>
            <w:r>
              <w:rPr>
                <w:rFonts w:ascii="Aptos" w:hAnsi="Aptos"/>
                <w:sz w:val="16"/>
              </w:rPr>
              <w:t>Link issued copies to the exact resolution and retain certification/dispatch evidence.</w:t>
            </w:r>
          </w:p>
        </w:tc>
        <w:tc>
          <w:tcPr>
            <w:tcW w:type="dxa" w:w="1440"/>
            <w:vAlign w:val="top"/>
            <w:shd w:fill="F7F9FC"/>
          </w:tcPr>
          <w:p>
            <w:pPr>
              <w:spacing w:after="20"/>
            </w:pPr>
            <w:r>
              <w:rPr>
                <w:rFonts w:ascii="Aptos" w:hAnsi="Aptos"/>
                <w:sz w:val="16"/>
              </w:rPr>
              <w:t>To verify</w:t>
            </w:r>
          </w:p>
        </w:tc>
      </w:tr>
      <w:tr>
        <w:trPr>
          <w:cantSplit/>
        </w:trPr>
        <w:tc>
          <w:tcPr>
            <w:tcW w:type="dxa" w:w="2448"/>
            <w:vAlign w:val="top"/>
          </w:tcPr>
          <w:p>
            <w:pPr>
              <w:spacing w:after="20"/>
            </w:pPr>
            <w:r>
              <w:rPr>
                <w:rFonts w:ascii="Aptos" w:hAnsi="Aptos"/>
                <w:sz w:val="16"/>
              </w:rPr>
              <w:t>Stock exchange filings</w:t>
            </w:r>
          </w:p>
        </w:tc>
        <w:tc>
          <w:tcPr>
            <w:tcW w:type="dxa" w:w="5760"/>
            <w:vAlign w:val="top"/>
          </w:tcPr>
          <w:p>
            <w:pPr>
              <w:spacing w:after="20"/>
            </w:pPr>
            <w:r>
              <w:rPr>
                <w:rFonts w:ascii="Aptos" w:hAnsi="Aptos"/>
                <w:sz w:val="16"/>
              </w:rPr>
              <w:t>Retain final submitted files and acknowledgements for each applicable exchange.</w:t>
            </w:r>
          </w:p>
        </w:tc>
        <w:tc>
          <w:tcPr>
            <w:tcW w:type="dxa" w:w="1440"/>
            <w:vAlign w:val="top"/>
          </w:tcPr>
          <w:p>
            <w:pPr>
              <w:spacing w:after="20"/>
            </w:pPr>
            <w:r>
              <w:rPr>
                <w:rFonts w:ascii="Aptos" w:hAnsi="Aptos"/>
                <w:sz w:val="16"/>
              </w:rPr>
              <w:t>To verify</w:t>
            </w:r>
          </w:p>
        </w:tc>
      </w:tr>
      <w:tr>
        <w:trPr>
          <w:cantSplit/>
        </w:trPr>
        <w:tc>
          <w:tcPr>
            <w:tcW w:type="dxa" w:w="2448"/>
            <w:vAlign w:val="top"/>
            <w:shd w:fill="F7F9FC"/>
          </w:tcPr>
          <w:p>
            <w:pPr>
              <w:spacing w:after="20"/>
            </w:pPr>
            <w:r>
              <w:rPr>
                <w:rFonts w:ascii="Aptos" w:hAnsi="Aptos"/>
                <w:sz w:val="16"/>
              </w:rPr>
              <w:t>Action tracker</w:t>
            </w:r>
          </w:p>
        </w:tc>
        <w:tc>
          <w:tcPr>
            <w:tcW w:type="dxa" w:w="5760"/>
            <w:vAlign w:val="top"/>
            <w:shd w:fill="F7F9FC"/>
          </w:tcPr>
          <w:p>
            <w:pPr>
              <w:spacing w:after="20"/>
            </w:pPr>
            <w:r>
              <w:rPr>
                <w:rFonts w:ascii="Aptos" w:hAnsi="Aptos"/>
                <w:sz w:val="16"/>
              </w:rPr>
              <w:t>Assign owners, deadlines, status and closure evidence for follow-up actions.</w:t>
            </w:r>
          </w:p>
        </w:tc>
        <w:tc>
          <w:tcPr>
            <w:tcW w:type="dxa" w:w="1440"/>
            <w:vAlign w:val="top"/>
            <w:shd w:fill="F7F9FC"/>
          </w:tcPr>
          <w:p>
            <w:pPr>
              <w:spacing w:after="20"/>
            </w:pPr>
            <w:r>
              <w:rPr>
                <w:rFonts w:ascii="Aptos" w:hAnsi="Aptos"/>
                <w:sz w:val="16"/>
              </w:rPr>
              <w:t>To verify</w:t>
            </w:r>
          </w:p>
        </w:tc>
      </w:tr>
    </w:tbl>
    <w:p>
      <w:pPr>
        <w:pStyle w:val="Heading1"/>
      </w:pPr>
      <w:r>
        <w:t>Appendix B — Fictionality and Use Disclaimer</w:t>
      </w:r>
    </w:p>
    <w:p>
      <w:r>
        <w:t>Silverline Industries Limited, the names of directors and officers, the Board meeting date and time, all financial figures, dividend details, record date, capital expenditure approval, appointment, risk actions and resolutions in this document are fictional. They were created to demonstrate an extensive Board minutes structure and are not assertions about any real company or event. The sample should be reviewed by a qualified Company Secretary / legal professional before adapting it to an actual company and must not be used as a substitute for actual proceedings or records.</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color w:val="9F2D2D"/>
        <w:sz w:val="14"/>
      </w:rPr>
      <w:t>FICTIONAL TRAINING SAMPLE — NOT FOR SIGNATURE, STATUTORY RECORD OR REGULATORY USE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1D5B87"/>
        <w:sz w:val="16"/>
      </w:rPr>
      <w:t>SILVERLINE INDUSTRIES LIMITED  |  BOARD GOVERNANCE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17212F"/>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Aptos Display" w:hAnsi="Aptos Display"/>
      <w:b/>
      <w:bCs/>
      <w:color w:val="142B4A"/>
      <w:sz w:val="30"/>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ptos" w:hAnsi="Aptos"/>
      <w:b/>
      <w:bCs/>
      <w:color w:val="1D5B87"/>
      <w:sz w:val="22"/>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Aptos" w:hAnsi="Aptos"/>
      <w:b/>
      <w:bCs/>
      <w:color w:val="147D83"/>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180"/>
      <w:contextualSpacing/>
    </w:pPr>
    <w:rPr>
      <w:rFonts w:asciiTheme="majorHAnsi" w:eastAsiaTheme="majorEastAsia" w:hAnsiTheme="majorHAnsi" w:cstheme="majorBidi" w:ascii="Aptos Display" w:hAnsi="Aptos Display"/>
      <w:b/>
      <w:color w:val="142B4A"/>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Silverline Industries Limited — Board Meeting Minutes</dc:title>
  <dc:subject>Illustrative Board meeting minutes for a fictional listed Indian company</dc:subject>
  <dc:creator>OpenAI</dc:creator>
  <cp:keywords>Board Meeting Minutes, fictional, listed company, India, governance</cp:keywords>
  <dc:description>generated by python-docx</dc:description>
  <cp:lastModifiedBy/>
  <cp:revision>1</cp:revision>
  <dcterms:created xsi:type="dcterms:W3CDTF">2013-12-23T23:15:00Z</dcterms:created>
  <dcterms:modified xsi:type="dcterms:W3CDTF">2013-12-23T23:15:00Z</dcterms:modified>
  <cp:category/>
</cp:coreProperties>
</file>