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A598F" w:rsidRDefault="00A65D9C">
      <w:r>
        <w:rPr>
          <w:rFonts w:ascii="Calibri" w:eastAsia="Calibri" w:hAnsi="Calibri" w:cs="Calibri"/>
          <w:b/>
          <w:sz w:val="24"/>
          <w:szCs w:val="24"/>
        </w:rPr>
        <w:t xml:space="preserve">Question1:  Summarize and justify alternative scenarios (i.e., compelling stories about the future) ranging from pessimistic </w:t>
      </w:r>
      <w:proofErr w:type="spellStart"/>
      <w:r>
        <w:rPr>
          <w:rFonts w:ascii="Calibri" w:eastAsia="Calibri" w:hAnsi="Calibri" w:cs="Calibri"/>
          <w:b/>
          <w:sz w:val="24"/>
          <w:szCs w:val="24"/>
        </w:rPr>
        <w:t>to</w:t>
      </w:r>
      <w:proofErr w:type="spellEnd"/>
      <w:r>
        <w:rPr>
          <w:rFonts w:ascii="Calibri" w:eastAsia="Calibri" w:hAnsi="Calibri" w:cs="Calibri"/>
          <w:b/>
          <w:sz w:val="24"/>
          <w:szCs w:val="24"/>
        </w:rPr>
        <w:t xml:space="preserve"> optimistic </w:t>
      </w:r>
      <w:proofErr w:type="gramStart"/>
      <w:r>
        <w:rPr>
          <w:rFonts w:ascii="Calibri" w:eastAsia="Calibri" w:hAnsi="Calibri" w:cs="Calibri"/>
          <w:b/>
          <w:sz w:val="24"/>
          <w:szCs w:val="24"/>
        </w:rPr>
        <w:t>with regard to</w:t>
      </w:r>
      <w:proofErr w:type="gramEnd"/>
      <w:r>
        <w:rPr>
          <w:rFonts w:ascii="Calibri" w:eastAsia="Calibri" w:hAnsi="Calibri" w:cs="Calibri"/>
          <w:b/>
          <w:sz w:val="24"/>
          <w:szCs w:val="24"/>
        </w:rPr>
        <w:t xml:space="preserve"> market performance of hybrid cars. </w:t>
      </w:r>
    </w:p>
    <w:p w:rsidR="00CA598F" w:rsidRDefault="00CA598F"/>
    <w:p w:rsidR="00CA598F" w:rsidRDefault="00CA598F"/>
    <w:p w:rsidR="00CA598F" w:rsidRDefault="00A65D9C">
      <w:pPr>
        <w:ind w:firstLine="720"/>
      </w:pPr>
      <w:r>
        <w:rPr>
          <w:rFonts w:ascii="Calibri" w:eastAsia="Calibri" w:hAnsi="Calibri" w:cs="Calibri"/>
          <w:sz w:val="24"/>
          <w:szCs w:val="24"/>
        </w:rPr>
        <w:t xml:space="preserve">The Electric Fuel Injection is optimistic scenario. This scenario shows </w:t>
      </w:r>
      <w:proofErr w:type="gramStart"/>
      <w:r>
        <w:rPr>
          <w:rFonts w:ascii="Calibri" w:eastAsia="Calibri" w:hAnsi="Calibri" w:cs="Calibri"/>
          <w:sz w:val="24"/>
          <w:szCs w:val="24"/>
        </w:rPr>
        <w:t>that  it</w:t>
      </w:r>
      <w:proofErr w:type="gramEnd"/>
      <w:r>
        <w:rPr>
          <w:rFonts w:ascii="Calibri" w:eastAsia="Calibri" w:hAnsi="Calibri" w:cs="Calibri"/>
          <w:sz w:val="24"/>
          <w:szCs w:val="24"/>
        </w:rPr>
        <w:t xml:space="preserve"> took about 14 years for the transition. The hybrid car owner’s demographics lists that they have a high level of education, higher income, eco-friendly etc. which is very much</w:t>
      </w:r>
      <w:r>
        <w:rPr>
          <w:rFonts w:ascii="Calibri" w:eastAsia="Calibri" w:hAnsi="Calibri" w:cs="Calibri"/>
          <w:sz w:val="24"/>
          <w:szCs w:val="24"/>
        </w:rPr>
        <w:t xml:space="preserve">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that of the EFI’s. The EFI customers are the ones who has superior technological knowledge and ready to invest more for their cars.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 can be forecasted that the gradual growth of EFIs might happen to the hybrid cars and adopted by the marke</w:t>
      </w:r>
      <w:r>
        <w:rPr>
          <w:rFonts w:ascii="Calibri" w:eastAsia="Calibri" w:hAnsi="Calibri" w:cs="Calibri"/>
          <w:sz w:val="24"/>
          <w:szCs w:val="24"/>
        </w:rPr>
        <w:t>t in near future. The surveys also predict the increase in sales of the hybrid cars. As there is a lot of customer demand there is a regulation passed by CAFE to maintain a minimum mileage of 27.5 miles per gallon (mpg) for passenger cars and 20.7 mpg acro</w:t>
      </w:r>
      <w:r>
        <w:rPr>
          <w:rFonts w:ascii="Calibri" w:eastAsia="Calibri" w:hAnsi="Calibri" w:cs="Calibri"/>
          <w:sz w:val="24"/>
          <w:szCs w:val="24"/>
        </w:rPr>
        <w:t xml:space="preserve">ss light trucks which is also helping to build more cars. The scheme of incentives and tax credits by the government with fuel-efficient and hybrid vehicles are also increasing the demand for hybrid cars. Customers who believe </w:t>
      </w:r>
      <w:proofErr w:type="gramStart"/>
      <w:r>
        <w:rPr>
          <w:rFonts w:ascii="Calibri" w:eastAsia="Calibri" w:hAnsi="Calibri" w:cs="Calibri"/>
          <w:sz w:val="24"/>
          <w:szCs w:val="24"/>
        </w:rPr>
        <w:t>in  “</w:t>
      </w:r>
      <w:proofErr w:type="gramEnd"/>
      <w:r>
        <w:rPr>
          <w:rFonts w:ascii="Calibri" w:eastAsia="Calibri" w:hAnsi="Calibri" w:cs="Calibri"/>
          <w:sz w:val="24"/>
          <w:szCs w:val="24"/>
        </w:rPr>
        <w:t xml:space="preserve">you are what you drive” </w:t>
      </w:r>
      <w:r>
        <w:rPr>
          <w:rFonts w:ascii="Calibri" w:eastAsia="Calibri" w:hAnsi="Calibri" w:cs="Calibri"/>
          <w:sz w:val="24"/>
          <w:szCs w:val="24"/>
        </w:rPr>
        <w:t>are preferring cars coming from renewable and non-polluting resources</w:t>
      </w:r>
    </w:p>
    <w:p w:rsidR="00CA598F" w:rsidRDefault="00A65D9C">
      <w:pPr>
        <w:ind w:firstLine="720"/>
      </w:pPr>
      <w:r>
        <w:rPr>
          <w:rFonts w:ascii="Calibri" w:eastAsia="Calibri" w:hAnsi="Calibri" w:cs="Calibri"/>
          <w:sz w:val="24"/>
          <w:szCs w:val="24"/>
        </w:rPr>
        <w:t xml:space="preserve">The Diesel cars is the Pessimistic approach as the customers of diesel car do not have much technical knowledge and will </w:t>
      </w:r>
      <w:proofErr w:type="spellStart"/>
      <w:r>
        <w:rPr>
          <w:rFonts w:ascii="Calibri" w:eastAsia="Calibri" w:hAnsi="Calibri" w:cs="Calibri"/>
          <w:sz w:val="24"/>
          <w:szCs w:val="24"/>
        </w:rPr>
        <w:t>stepback</w:t>
      </w:r>
      <w:proofErr w:type="spellEnd"/>
      <w:r>
        <w:rPr>
          <w:rFonts w:ascii="Calibri" w:eastAsia="Calibri" w:hAnsi="Calibri" w:cs="Calibri"/>
          <w:sz w:val="24"/>
          <w:szCs w:val="24"/>
        </w:rPr>
        <w:t xml:space="preserve"> to invest for expensive hybrid cars as they are not conc</w:t>
      </w:r>
      <w:r>
        <w:rPr>
          <w:rFonts w:ascii="Calibri" w:eastAsia="Calibri" w:hAnsi="Calibri" w:cs="Calibri"/>
          <w:sz w:val="24"/>
          <w:szCs w:val="24"/>
        </w:rPr>
        <w:t xml:space="preserve">erned with the technology or go-green policy. The environmental problem in disposing the battery which may discourage the customers to buy hybrid cars. The idea of using alternative fuels like E85 may gain the popularity so the customers </w:t>
      </w:r>
      <w:proofErr w:type="spellStart"/>
      <w:r>
        <w:rPr>
          <w:rFonts w:ascii="Calibri" w:eastAsia="Calibri" w:hAnsi="Calibri" w:cs="Calibri"/>
          <w:sz w:val="24"/>
          <w:szCs w:val="24"/>
        </w:rPr>
        <w:t>stepback</w:t>
      </w:r>
      <w:proofErr w:type="spellEnd"/>
      <w:r>
        <w:rPr>
          <w:rFonts w:ascii="Calibri" w:eastAsia="Calibri" w:hAnsi="Calibri" w:cs="Calibri"/>
          <w:sz w:val="24"/>
          <w:szCs w:val="24"/>
        </w:rPr>
        <w:t xml:space="preserve"> to pay mo</w:t>
      </w:r>
      <w:r>
        <w:rPr>
          <w:rFonts w:ascii="Calibri" w:eastAsia="Calibri" w:hAnsi="Calibri" w:cs="Calibri"/>
          <w:sz w:val="24"/>
          <w:szCs w:val="24"/>
        </w:rPr>
        <w:t>re and go for hybrid cars. The study shows there is 50% of new car registration in Europe with the diesel cars and may spread worldwide minimizing the growth of hybrid cars.</w:t>
      </w:r>
    </w:p>
    <w:p w:rsidR="00CA598F" w:rsidRDefault="00A65D9C">
      <w:pPr>
        <w:ind w:firstLine="720"/>
      </w:pPr>
      <w:proofErr w:type="spellStart"/>
      <w:r>
        <w:rPr>
          <w:rFonts w:ascii="Calibri" w:eastAsia="Calibri" w:hAnsi="Calibri" w:cs="Calibri"/>
          <w:sz w:val="24"/>
          <w:szCs w:val="24"/>
        </w:rPr>
        <w:t>Anti Breaking</w:t>
      </w:r>
      <w:proofErr w:type="spellEnd"/>
      <w:r>
        <w:rPr>
          <w:rFonts w:ascii="Calibri" w:eastAsia="Calibri" w:hAnsi="Calibri" w:cs="Calibri"/>
          <w:sz w:val="24"/>
          <w:szCs w:val="24"/>
        </w:rPr>
        <w:t xml:space="preserve"> System is a Pessimistic approach as the diffusion of product to much</w:t>
      </w:r>
      <w:r>
        <w:rPr>
          <w:rFonts w:ascii="Calibri" w:eastAsia="Calibri" w:hAnsi="Calibri" w:cs="Calibri"/>
          <w:sz w:val="24"/>
          <w:szCs w:val="24"/>
        </w:rPr>
        <w:t xml:space="preserve"> time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1978 to 1992, and covered a very minimum percentage of cars by 2003.By 2000 it was installed in high end model cars only. It took almost 25 years to reach 69% of the market which is very slow and our forecast is for 10 years so this proves to be </w:t>
      </w:r>
      <w:proofErr w:type="gramStart"/>
      <w:r>
        <w:rPr>
          <w:rFonts w:ascii="Calibri" w:eastAsia="Calibri" w:hAnsi="Calibri" w:cs="Calibri"/>
          <w:sz w:val="24"/>
          <w:szCs w:val="24"/>
        </w:rPr>
        <w:t>a</w:t>
      </w:r>
      <w:r>
        <w:rPr>
          <w:rFonts w:ascii="Calibri" w:eastAsia="Calibri" w:hAnsi="Calibri" w:cs="Calibri"/>
          <w:sz w:val="24"/>
          <w:szCs w:val="24"/>
        </w:rPr>
        <w:t>n</w:t>
      </w:r>
      <w:proofErr w:type="gramEnd"/>
      <w:r>
        <w:rPr>
          <w:rFonts w:ascii="Calibri" w:eastAsia="Calibri" w:hAnsi="Calibri" w:cs="Calibri"/>
          <w:sz w:val="24"/>
          <w:szCs w:val="24"/>
        </w:rPr>
        <w:t xml:space="preserve"> Pessimistic approach. The hybrid cars may not be easily adopted as the traditional source is viewed as convenient and relatively inexpensive among US residents.</w:t>
      </w:r>
    </w:p>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CA598F"/>
    <w:p w:rsidR="00CA598F" w:rsidRDefault="00A65D9C">
      <w:r>
        <w:rPr>
          <w:rFonts w:ascii="Calibri" w:eastAsia="Calibri" w:hAnsi="Calibri" w:cs="Calibri"/>
          <w:b/>
          <w:sz w:val="24"/>
          <w:szCs w:val="24"/>
        </w:rPr>
        <w:t xml:space="preserve">Question 2: Develop forecasts of hybrid car penetration in the U.S. market from </w:t>
      </w:r>
      <w:r>
        <w:rPr>
          <w:rFonts w:ascii="Calibri" w:eastAsia="Calibri" w:hAnsi="Calibri" w:cs="Calibri"/>
          <w:b/>
          <w:sz w:val="24"/>
          <w:szCs w:val="24"/>
        </w:rPr>
        <w:t xml:space="preserve">2007 through 2016 for each scenario you develop, along with a justification and explanation for your forecasts. (In applying the Bass model, note that market penetration data for the four analog products mentioned in the case, namely, ABS, EFI, Solar, and </w:t>
      </w:r>
      <w:r>
        <w:rPr>
          <w:rFonts w:ascii="Calibri" w:eastAsia="Calibri" w:hAnsi="Calibri" w:cs="Calibri"/>
          <w:b/>
          <w:sz w:val="24"/>
          <w:szCs w:val="24"/>
        </w:rPr>
        <w:t xml:space="preserve">Diesel cars, were all reckoned in terms of the percentage of the target market that adopted the product. </w:t>
      </w:r>
      <w:proofErr w:type="gramStart"/>
      <w:r>
        <w:rPr>
          <w:rFonts w:ascii="Calibri" w:eastAsia="Calibri" w:hAnsi="Calibri" w:cs="Calibri"/>
          <w:b/>
          <w:sz w:val="24"/>
          <w:szCs w:val="24"/>
        </w:rPr>
        <w:t>Thus</w:t>
      </w:r>
      <w:proofErr w:type="gramEnd"/>
      <w:r>
        <w:rPr>
          <w:rFonts w:ascii="Calibri" w:eastAsia="Calibri" w:hAnsi="Calibri" w:cs="Calibri"/>
          <w:b/>
          <w:sz w:val="24"/>
          <w:szCs w:val="24"/>
        </w:rPr>
        <w:t xml:space="preserve"> the maximum market potential can at most be equal to 100). </w:t>
      </w:r>
    </w:p>
    <w:p w:rsidR="00CA598F" w:rsidRDefault="00CA598F"/>
    <w:p w:rsidR="00CA598F" w:rsidRDefault="00A65D9C">
      <w:r>
        <w:rPr>
          <w:rFonts w:ascii="Calibri" w:eastAsia="Calibri" w:hAnsi="Calibri" w:cs="Calibri"/>
          <w:b/>
          <w:sz w:val="24"/>
          <w:szCs w:val="24"/>
        </w:rPr>
        <w:t>The major characteristics of current hybrid car owners are:</w:t>
      </w:r>
    </w:p>
    <w:p w:rsidR="00CA598F" w:rsidRDefault="00A65D9C">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 xml:space="preserve">High level of education. </w:t>
      </w:r>
    </w:p>
    <w:p w:rsidR="00CA598F" w:rsidRDefault="00A65D9C">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 xml:space="preserve">Higher income than the average new buyer—approximately $100,000 a year versus $85,000 a year for the average buyer. </w:t>
      </w:r>
    </w:p>
    <w:p w:rsidR="00CA598F" w:rsidRDefault="00A65D9C">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 xml:space="preserve">Willing to pay more for an environmentally friendly (or “green”) product. </w:t>
      </w:r>
    </w:p>
    <w:p w:rsidR="00CA598F" w:rsidRDefault="00A65D9C">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 xml:space="preserve">Want to do something to help reduce vehicle pollution. </w:t>
      </w:r>
    </w:p>
    <w:p w:rsidR="00CA598F" w:rsidRDefault="00A65D9C">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More pe</w:t>
      </w:r>
      <w:r>
        <w:rPr>
          <w:rFonts w:ascii="Calibri" w:eastAsia="Calibri" w:hAnsi="Calibri" w:cs="Calibri"/>
          <w:sz w:val="24"/>
          <w:szCs w:val="24"/>
        </w:rPr>
        <w:t xml:space="preserve">ssimistic about the future of fuel prices than the average person. </w:t>
      </w:r>
    </w:p>
    <w:p w:rsidR="00CA598F" w:rsidRDefault="00CA598F"/>
    <w:p w:rsidR="00CA598F" w:rsidRDefault="00A65D9C">
      <w:r>
        <w:rPr>
          <w:rFonts w:ascii="Calibri" w:eastAsia="Calibri" w:hAnsi="Calibri" w:cs="Calibri"/>
          <w:b/>
          <w:sz w:val="24"/>
          <w:szCs w:val="24"/>
          <w:u w:val="single"/>
        </w:rPr>
        <w:t>Bass Parameters</w:t>
      </w:r>
    </w:p>
    <w:p w:rsidR="00CA598F" w:rsidRDefault="00CA598F"/>
    <w:p w:rsidR="00CA598F" w:rsidRDefault="00A65D9C">
      <w:r>
        <w:rPr>
          <w:rFonts w:ascii="Calibri" w:eastAsia="Calibri" w:hAnsi="Calibri" w:cs="Calibri"/>
          <w:b/>
          <w:sz w:val="24"/>
          <w:szCs w:val="24"/>
        </w:rPr>
        <w:t xml:space="preserve">Total Market Potential - </w:t>
      </w:r>
      <w:r>
        <w:rPr>
          <w:rFonts w:ascii="Calibri" w:eastAsia="Calibri" w:hAnsi="Calibri" w:cs="Calibri"/>
          <w:sz w:val="24"/>
          <w:szCs w:val="24"/>
        </w:rPr>
        <w:t>Number of potential customers before period 1</w:t>
      </w:r>
    </w:p>
    <w:p w:rsidR="00CA598F" w:rsidRDefault="00CA598F"/>
    <w:p w:rsidR="00CA598F" w:rsidRDefault="00A65D9C">
      <w:r>
        <w:rPr>
          <w:rFonts w:ascii="Calibri" w:eastAsia="Calibri" w:hAnsi="Calibri" w:cs="Calibri"/>
          <w:sz w:val="24"/>
          <w:szCs w:val="24"/>
        </w:rPr>
        <w:t>Total market potential = # customers in target market * % aware * % with access * % with strong intent</w:t>
      </w:r>
    </w:p>
    <w:p w:rsidR="00CA598F" w:rsidRDefault="00CA598F"/>
    <w:p w:rsidR="00CA598F" w:rsidRDefault="00A65D9C">
      <w:r>
        <w:rPr>
          <w:rFonts w:ascii="Calibri" w:eastAsia="Calibri" w:hAnsi="Calibri" w:cs="Calibri"/>
          <w:b/>
          <w:sz w:val="24"/>
          <w:szCs w:val="24"/>
        </w:rPr>
        <w:t xml:space="preserve">Number of households in 2006 - 114 million </w:t>
      </w:r>
    </w:p>
    <w:p w:rsidR="00CA598F" w:rsidRDefault="00A65D9C">
      <w:hyperlink r:id="rId5">
        <w:r>
          <w:rPr>
            <w:rFonts w:ascii="Calibri" w:eastAsia="Calibri" w:hAnsi="Calibri" w:cs="Calibri"/>
            <w:color w:val="1155CC"/>
            <w:sz w:val="24"/>
            <w:szCs w:val="24"/>
            <w:u w:val="single"/>
          </w:rPr>
          <w:t>http://www.infoplease.com/ipa/A0005055.html</w:t>
        </w:r>
      </w:hyperlink>
    </w:p>
    <w:p w:rsidR="00CA598F" w:rsidRDefault="00CA598F"/>
    <w:p w:rsidR="00CA598F" w:rsidRDefault="00A65D9C">
      <w:r>
        <w:rPr>
          <w:rFonts w:ascii="Calibri" w:eastAsia="Calibri" w:hAnsi="Calibri" w:cs="Calibri"/>
          <w:b/>
          <w:sz w:val="24"/>
          <w:szCs w:val="24"/>
        </w:rPr>
        <w:t>Number of households earning nearly 85000 - 25%</w:t>
      </w:r>
    </w:p>
    <w:p w:rsidR="00CA598F" w:rsidRDefault="00A65D9C">
      <w:hyperlink r:id="rId6">
        <w:r>
          <w:rPr>
            <w:rFonts w:ascii="Calibri" w:eastAsia="Calibri" w:hAnsi="Calibri" w:cs="Calibri"/>
            <w:color w:val="1155CC"/>
            <w:sz w:val="24"/>
            <w:szCs w:val="24"/>
            <w:u w:val="single"/>
          </w:rPr>
          <w:t>https://en.wikipedia.org/wiki/Income_in_the_United_States</w:t>
        </w:r>
      </w:hyperlink>
    </w:p>
    <w:p w:rsidR="00CA598F" w:rsidRDefault="00A65D9C">
      <w:hyperlink r:id="rId7">
        <w:r>
          <w:rPr>
            <w:rFonts w:ascii="Calibri" w:eastAsia="Calibri" w:hAnsi="Calibri" w:cs="Calibri"/>
            <w:color w:val="1155CC"/>
            <w:sz w:val="24"/>
            <w:szCs w:val="24"/>
            <w:u w:val="single"/>
          </w:rPr>
          <w:t>https://en.wikipedia.org/wiki/Upper_middle_class_in_the_United_States</w:t>
        </w:r>
      </w:hyperlink>
    </w:p>
    <w:p w:rsidR="00CA598F" w:rsidRDefault="00CA598F"/>
    <w:p w:rsidR="00CA598F" w:rsidRDefault="00A65D9C">
      <w:proofErr w:type="gramStart"/>
      <w:r>
        <w:rPr>
          <w:rFonts w:ascii="Calibri" w:eastAsia="Calibri" w:hAnsi="Calibri" w:cs="Calibri"/>
          <w:sz w:val="24"/>
          <w:szCs w:val="24"/>
        </w:rPr>
        <w:t>Therefore</w:t>
      </w:r>
      <w:proofErr w:type="gramEnd"/>
      <w:r>
        <w:rPr>
          <w:rFonts w:ascii="Calibri" w:eastAsia="Calibri" w:hAnsi="Calibri" w:cs="Calibri"/>
          <w:sz w:val="24"/>
          <w:szCs w:val="24"/>
        </w:rPr>
        <w:t xml:space="preserve"> number of customers in target market is 25% of 114 million = 28,500,000</w:t>
      </w:r>
    </w:p>
    <w:p w:rsidR="00CA598F" w:rsidRDefault="00CA598F"/>
    <w:p w:rsidR="00CA598F" w:rsidRDefault="00A65D9C">
      <w:r>
        <w:rPr>
          <w:rFonts w:ascii="Calibri" w:eastAsia="Calibri" w:hAnsi="Calibri" w:cs="Calibri"/>
          <w:sz w:val="24"/>
          <w:szCs w:val="24"/>
        </w:rPr>
        <w:t>We are not doing any market survey, so our assumptions on other factors are</w:t>
      </w:r>
    </w:p>
    <w:p w:rsidR="00CA598F" w:rsidRDefault="00CA598F"/>
    <w:p w:rsidR="00CA598F" w:rsidRDefault="00A65D9C">
      <w:r>
        <w:rPr>
          <w:rFonts w:ascii="Calibri" w:eastAsia="Calibri" w:hAnsi="Calibri" w:cs="Calibri"/>
          <w:sz w:val="24"/>
          <w:szCs w:val="24"/>
        </w:rPr>
        <w:t>% aware =</w:t>
      </w:r>
      <w:r>
        <w:rPr>
          <w:rFonts w:ascii="Calibri" w:eastAsia="Calibri" w:hAnsi="Calibri" w:cs="Calibri"/>
          <w:sz w:val="24"/>
          <w:szCs w:val="24"/>
        </w:rPr>
        <w:t xml:space="preserve"> 0.5 (50% are aware of hybrid cars)</w:t>
      </w:r>
    </w:p>
    <w:p w:rsidR="00CA598F" w:rsidRDefault="00A65D9C">
      <w:r>
        <w:rPr>
          <w:rFonts w:ascii="Calibri" w:eastAsia="Calibri" w:hAnsi="Calibri" w:cs="Calibri"/>
          <w:sz w:val="24"/>
          <w:szCs w:val="24"/>
        </w:rPr>
        <w:t>% access =0.4 (40% have access)</w:t>
      </w:r>
    </w:p>
    <w:p w:rsidR="00CA598F" w:rsidRDefault="00A65D9C">
      <w:r>
        <w:rPr>
          <w:rFonts w:ascii="Calibri" w:eastAsia="Calibri" w:hAnsi="Calibri" w:cs="Calibri"/>
          <w:sz w:val="24"/>
          <w:szCs w:val="24"/>
        </w:rPr>
        <w:t xml:space="preserve">% strong intent = 0.4 </w:t>
      </w:r>
    </w:p>
    <w:p w:rsidR="00CA598F" w:rsidRDefault="00A65D9C">
      <w:r>
        <w:rPr>
          <w:rFonts w:ascii="Calibri" w:eastAsia="Calibri" w:hAnsi="Calibri" w:cs="Calibri"/>
          <w:sz w:val="24"/>
          <w:szCs w:val="24"/>
        </w:rPr>
        <w:t>% medium intent = 0.8</w:t>
      </w:r>
    </w:p>
    <w:p w:rsidR="00CA598F" w:rsidRDefault="00CA598F"/>
    <w:p w:rsidR="00CA598F" w:rsidRDefault="00A65D9C">
      <w:r>
        <w:rPr>
          <w:rFonts w:ascii="Calibri" w:eastAsia="Calibri" w:hAnsi="Calibri" w:cs="Calibri"/>
          <w:sz w:val="24"/>
          <w:szCs w:val="24"/>
        </w:rPr>
        <w:t>Based on our assumptions,</w:t>
      </w:r>
    </w:p>
    <w:p w:rsidR="00CA598F" w:rsidRDefault="00A65D9C">
      <w:r>
        <w:rPr>
          <w:rFonts w:ascii="Calibri" w:eastAsia="Calibri" w:hAnsi="Calibri" w:cs="Calibri"/>
          <w:b/>
          <w:sz w:val="24"/>
          <w:szCs w:val="24"/>
        </w:rPr>
        <w:t>Market potential = 28,500,000 * 0.5 * 0.4 * (0.4*+(0.5*0.8) = 4,560,000 = 4.56 Million</w:t>
      </w:r>
    </w:p>
    <w:p w:rsidR="00CA598F" w:rsidRDefault="00CA598F"/>
    <w:p w:rsidR="00CA598F" w:rsidRDefault="00CA598F"/>
    <w:p w:rsidR="00CA598F" w:rsidRDefault="00A65D9C">
      <w:r>
        <w:rPr>
          <w:rFonts w:ascii="Calibri" w:eastAsia="Calibri" w:hAnsi="Calibri" w:cs="Calibri"/>
          <w:b/>
          <w:sz w:val="24"/>
          <w:szCs w:val="24"/>
        </w:rPr>
        <w:t xml:space="preserve">Market Penetration </w:t>
      </w:r>
      <w:r>
        <w:rPr>
          <w:rFonts w:ascii="Calibri" w:eastAsia="Calibri" w:hAnsi="Calibri" w:cs="Calibri"/>
          <w:sz w:val="24"/>
          <w:szCs w:val="24"/>
        </w:rPr>
        <w:t xml:space="preserve">- Number of cars already existing in the </w:t>
      </w:r>
      <w:proofErr w:type="gramStart"/>
      <w:r>
        <w:rPr>
          <w:rFonts w:ascii="Calibri" w:eastAsia="Calibri" w:hAnsi="Calibri" w:cs="Calibri"/>
          <w:sz w:val="24"/>
          <w:szCs w:val="24"/>
        </w:rPr>
        <w:t>market :</w:t>
      </w:r>
      <w:proofErr w:type="gramEnd"/>
    </w:p>
    <w:p w:rsidR="00CA598F" w:rsidRDefault="00CA598F"/>
    <w:p w:rsidR="00CA598F" w:rsidRDefault="00A65D9C">
      <w:r>
        <w:rPr>
          <w:noProof/>
        </w:rPr>
        <w:drawing>
          <wp:inline distT="114300" distB="114300" distL="114300" distR="114300">
            <wp:extent cx="6462713" cy="333375"/>
            <wp:effectExtent l="0" t="0" r="0" b="0"/>
            <wp:docPr id="1" name="image01.png" descr="Screen Shot 2016-11-03 at 7.15.18 PM.png"/>
            <wp:cNvGraphicFramePr/>
            <a:graphic xmlns:a="http://schemas.openxmlformats.org/drawingml/2006/main">
              <a:graphicData uri="http://schemas.openxmlformats.org/drawingml/2006/picture">
                <pic:pic xmlns:pic="http://schemas.openxmlformats.org/drawingml/2006/picture">
                  <pic:nvPicPr>
                    <pic:cNvPr id="0" name="image01.png" descr="Screen Shot 2016-11-03 at 7.15.18 PM.png"/>
                    <pic:cNvPicPr preferRelativeResize="0"/>
                  </pic:nvPicPr>
                  <pic:blipFill>
                    <a:blip r:embed="rId8"/>
                    <a:srcRect/>
                    <a:stretch>
                      <a:fillRect/>
                    </a:stretch>
                  </pic:blipFill>
                  <pic:spPr>
                    <a:xfrm>
                      <a:off x="0" y="0"/>
                      <a:ext cx="6462713" cy="333375"/>
                    </a:xfrm>
                    <a:prstGeom prst="rect">
                      <a:avLst/>
                    </a:prstGeom>
                    <a:ln/>
                  </pic:spPr>
                </pic:pic>
              </a:graphicData>
            </a:graphic>
          </wp:inline>
        </w:drawing>
      </w:r>
    </w:p>
    <w:p w:rsidR="00CA598F" w:rsidRDefault="00CA598F"/>
    <w:p w:rsidR="00CA598F" w:rsidRDefault="00A65D9C">
      <w:r>
        <w:rPr>
          <w:rFonts w:ascii="Calibri" w:eastAsia="Calibri" w:hAnsi="Calibri" w:cs="Calibri"/>
          <w:sz w:val="24"/>
          <w:szCs w:val="24"/>
        </w:rPr>
        <w:t>Total number of actual adopters before period 1 (who already own hybrid cards)</w:t>
      </w:r>
    </w:p>
    <w:p w:rsidR="00CA598F" w:rsidRDefault="00A65D9C">
      <w:r>
        <w:rPr>
          <w:rFonts w:ascii="Calibri" w:eastAsia="Calibri" w:hAnsi="Calibri" w:cs="Calibri"/>
          <w:b/>
          <w:sz w:val="24"/>
          <w:szCs w:val="24"/>
        </w:rPr>
        <w:t>Total Market Penetration = 20149+3174 = 23323</w:t>
      </w:r>
    </w:p>
    <w:p w:rsidR="00CA598F" w:rsidRDefault="00CA598F"/>
    <w:p w:rsidR="00CA598F" w:rsidRDefault="00A65D9C">
      <w:pPr>
        <w:tabs>
          <w:tab w:val="left" w:pos="-180"/>
        </w:tabs>
        <w:spacing w:line="240" w:lineRule="auto"/>
      </w:pPr>
      <w:r>
        <w:rPr>
          <w:rFonts w:ascii="Calibri" w:eastAsia="Calibri" w:hAnsi="Calibri" w:cs="Calibri"/>
          <w:b/>
          <w:sz w:val="24"/>
          <w:szCs w:val="24"/>
        </w:rPr>
        <w:t xml:space="preserve">Market Growth Rate </w:t>
      </w:r>
    </w:p>
    <w:p w:rsidR="00CA598F" w:rsidRDefault="00A65D9C">
      <w:pPr>
        <w:tabs>
          <w:tab w:val="left" w:pos="-180"/>
        </w:tabs>
        <w:spacing w:line="240" w:lineRule="auto"/>
      </w:pPr>
      <w:hyperlink r:id="rId9">
        <w:r>
          <w:rPr>
            <w:rFonts w:ascii="Calibri" w:eastAsia="Calibri" w:hAnsi="Calibri" w:cs="Calibri"/>
            <w:color w:val="1155CC"/>
            <w:sz w:val="24"/>
            <w:szCs w:val="24"/>
            <w:u w:val="single"/>
          </w:rPr>
          <w:t>http://www.multpl.com/united-states-population/table</w:t>
        </w:r>
      </w:hyperlink>
    </w:p>
    <w:p w:rsidR="00CA598F" w:rsidRDefault="00A65D9C">
      <w:pPr>
        <w:tabs>
          <w:tab w:val="left" w:pos="-180"/>
        </w:tabs>
        <w:spacing w:line="240" w:lineRule="auto"/>
      </w:pPr>
      <w:r>
        <w:rPr>
          <w:rFonts w:ascii="Calibri" w:eastAsia="Calibri" w:hAnsi="Calibri" w:cs="Calibri"/>
          <w:sz w:val="24"/>
          <w:szCs w:val="24"/>
        </w:rPr>
        <w:t xml:space="preserve">0.96% </w:t>
      </w:r>
      <w:proofErr w:type="gramStart"/>
      <w:r>
        <w:rPr>
          <w:rFonts w:ascii="Calibri" w:eastAsia="Calibri" w:hAnsi="Calibri" w:cs="Calibri"/>
          <w:sz w:val="24"/>
          <w:szCs w:val="24"/>
        </w:rPr>
        <w:t>( As</w:t>
      </w:r>
      <w:proofErr w:type="gramEnd"/>
      <w:r>
        <w:rPr>
          <w:rFonts w:ascii="Calibri" w:eastAsia="Calibri" w:hAnsi="Calibri" w:cs="Calibri"/>
          <w:sz w:val="24"/>
          <w:szCs w:val="24"/>
        </w:rPr>
        <w:t xml:space="preserve"> per Population growth rate in 2006)</w:t>
      </w: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 xml:space="preserve">Market Price Elasticity </w:t>
      </w:r>
    </w:p>
    <w:p w:rsidR="00CA598F" w:rsidRDefault="00A65D9C">
      <w:pPr>
        <w:tabs>
          <w:tab w:val="left" w:pos="-180"/>
        </w:tabs>
        <w:spacing w:line="240" w:lineRule="auto"/>
      </w:pPr>
      <w:r>
        <w:rPr>
          <w:rFonts w:ascii="Calibri" w:eastAsia="Calibri" w:hAnsi="Calibri" w:cs="Calibri"/>
          <w:sz w:val="24"/>
          <w:szCs w:val="24"/>
        </w:rPr>
        <w:t>0.5 (Assumption based on analog products)</w:t>
      </w: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Advertising Coeff</w:t>
      </w:r>
      <w:r>
        <w:rPr>
          <w:rFonts w:ascii="Calibri" w:eastAsia="Calibri" w:hAnsi="Calibri" w:cs="Calibri"/>
          <w:b/>
          <w:sz w:val="24"/>
          <w:szCs w:val="24"/>
        </w:rPr>
        <w:t xml:space="preserve">icient </w:t>
      </w:r>
    </w:p>
    <w:p w:rsidR="00CA598F" w:rsidRDefault="00A65D9C">
      <w:pPr>
        <w:tabs>
          <w:tab w:val="left" w:pos="-180"/>
        </w:tabs>
        <w:spacing w:line="240" w:lineRule="auto"/>
      </w:pPr>
      <w:r>
        <w:rPr>
          <w:rFonts w:ascii="Calibri" w:eastAsia="Calibri" w:hAnsi="Calibri" w:cs="Calibri"/>
          <w:sz w:val="24"/>
          <w:szCs w:val="24"/>
        </w:rPr>
        <w:t>1.5% (Population has good knowledge of hybrid cars because people of this category are highly educated)</w:t>
      </w: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Price Coefficient</w:t>
      </w:r>
      <w:r>
        <w:rPr>
          <w:rFonts w:ascii="Calibri" w:eastAsia="Calibri" w:hAnsi="Calibri" w:cs="Calibri"/>
          <w:sz w:val="24"/>
          <w:szCs w:val="24"/>
        </w:rPr>
        <w:t xml:space="preserve"> </w:t>
      </w:r>
    </w:p>
    <w:p w:rsidR="00CA598F" w:rsidRDefault="00A65D9C">
      <w:pPr>
        <w:tabs>
          <w:tab w:val="left" w:pos="-180"/>
        </w:tabs>
        <w:spacing w:line="240" w:lineRule="auto"/>
      </w:pPr>
      <w:r>
        <w:rPr>
          <w:rFonts w:ascii="Calibri" w:eastAsia="Calibri" w:hAnsi="Calibri" w:cs="Calibri"/>
          <w:sz w:val="24"/>
          <w:szCs w:val="24"/>
        </w:rPr>
        <w:t>3% (Assumption)</w:t>
      </w: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Price and Advertising Data</w:t>
      </w: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Advertising</w:t>
      </w:r>
    </w:p>
    <w:p w:rsidR="00CA598F" w:rsidRDefault="00A65D9C">
      <w:pPr>
        <w:numPr>
          <w:ilvl w:val="0"/>
          <w:numId w:val="2"/>
        </w:numPr>
        <w:tabs>
          <w:tab w:val="left" w:pos="-180"/>
        </w:tabs>
        <w:spacing w:line="240" w:lineRule="auto"/>
        <w:ind w:hanging="360"/>
        <w:contextualSpacing/>
        <w:rPr>
          <w:rFonts w:ascii="Calibri" w:eastAsia="Calibri" w:hAnsi="Calibri" w:cs="Calibri"/>
          <w:sz w:val="24"/>
          <w:szCs w:val="24"/>
        </w:rPr>
      </w:pPr>
      <w:r>
        <w:rPr>
          <w:rFonts w:ascii="Calibri" w:eastAsia="Calibri" w:hAnsi="Calibri" w:cs="Calibri"/>
          <w:sz w:val="24"/>
          <w:szCs w:val="24"/>
        </w:rPr>
        <w:t>Total for 10 years</w:t>
      </w:r>
    </w:p>
    <w:p w:rsidR="00CA598F" w:rsidRDefault="00A65D9C">
      <w:pPr>
        <w:numPr>
          <w:ilvl w:val="0"/>
          <w:numId w:val="2"/>
        </w:numPr>
        <w:tabs>
          <w:tab w:val="left" w:pos="-180"/>
        </w:tabs>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Initially, for 4 years advertising can increase </w:t>
      </w:r>
      <w:r>
        <w:rPr>
          <w:rFonts w:ascii="Calibri" w:eastAsia="Calibri" w:hAnsi="Calibri" w:cs="Calibri"/>
          <w:sz w:val="24"/>
          <w:szCs w:val="24"/>
        </w:rPr>
        <w:t>by $0.15, and stable for 4 years, then increase again for 3 years by $0.20</w:t>
      </w: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Pricing</w:t>
      </w:r>
    </w:p>
    <w:p w:rsidR="00CA598F" w:rsidRDefault="00A65D9C">
      <w:pPr>
        <w:numPr>
          <w:ilvl w:val="0"/>
          <w:numId w:val="4"/>
        </w:numPr>
        <w:tabs>
          <w:tab w:val="left" w:pos="-180"/>
        </w:tabs>
        <w:spacing w:line="240" w:lineRule="auto"/>
        <w:ind w:hanging="360"/>
        <w:contextualSpacing/>
        <w:rPr>
          <w:rFonts w:ascii="Calibri" w:eastAsia="Calibri" w:hAnsi="Calibri" w:cs="Calibri"/>
          <w:sz w:val="24"/>
          <w:szCs w:val="24"/>
        </w:rPr>
      </w:pPr>
      <w:r>
        <w:rPr>
          <w:rFonts w:ascii="Calibri" w:eastAsia="Calibri" w:hAnsi="Calibri" w:cs="Calibri"/>
          <w:sz w:val="24"/>
          <w:szCs w:val="24"/>
        </w:rPr>
        <w:t>Decrease by 5% every year for first 5 years, then decrease by 10% for remaining 5 years</w:t>
      </w:r>
    </w:p>
    <w:p w:rsidR="00CA598F" w:rsidRDefault="00CA598F">
      <w:pPr>
        <w:tabs>
          <w:tab w:val="left" w:pos="-180"/>
        </w:tabs>
        <w:spacing w:line="240" w:lineRule="auto"/>
      </w:pPr>
    </w:p>
    <w:p w:rsidR="00B2755C" w:rsidRDefault="00B2755C" w:rsidP="00B2755C">
      <w:pPr>
        <w:tabs>
          <w:tab w:val="left" w:pos="-180"/>
        </w:tabs>
        <w:spacing w:line="240" w:lineRule="auto"/>
        <w:rPr>
          <w:rFonts w:ascii="Calibri" w:eastAsia="Calibri" w:hAnsi="Calibri" w:cs="Calibri"/>
          <w:b/>
          <w:sz w:val="36"/>
          <w:szCs w:val="36"/>
        </w:rPr>
      </w:pPr>
    </w:p>
    <w:p w:rsidR="00B2755C" w:rsidRDefault="00B2755C" w:rsidP="00B2755C">
      <w:pPr>
        <w:tabs>
          <w:tab w:val="left" w:pos="-180"/>
        </w:tabs>
        <w:spacing w:line="240" w:lineRule="auto"/>
        <w:rPr>
          <w:rFonts w:ascii="Calibri" w:eastAsia="Calibri" w:hAnsi="Calibri" w:cs="Calibri"/>
          <w:b/>
          <w:sz w:val="36"/>
          <w:szCs w:val="36"/>
        </w:rPr>
      </w:pPr>
    </w:p>
    <w:p w:rsidR="00B2755C" w:rsidRDefault="00B2755C" w:rsidP="00B2755C">
      <w:pPr>
        <w:tabs>
          <w:tab w:val="left" w:pos="-180"/>
        </w:tabs>
        <w:spacing w:line="240" w:lineRule="auto"/>
        <w:rPr>
          <w:rFonts w:ascii="Calibri" w:eastAsia="Calibri" w:hAnsi="Calibri" w:cs="Calibri"/>
          <w:b/>
          <w:sz w:val="36"/>
          <w:szCs w:val="36"/>
        </w:rPr>
      </w:pPr>
    </w:p>
    <w:p w:rsidR="00B2755C" w:rsidRDefault="00B2755C" w:rsidP="00B2755C">
      <w:pPr>
        <w:tabs>
          <w:tab w:val="left" w:pos="-180"/>
        </w:tabs>
        <w:spacing w:line="240" w:lineRule="auto"/>
        <w:rPr>
          <w:rFonts w:ascii="Calibri" w:eastAsia="Calibri" w:hAnsi="Calibri" w:cs="Calibri"/>
          <w:b/>
          <w:sz w:val="36"/>
          <w:szCs w:val="36"/>
        </w:rPr>
      </w:pPr>
    </w:p>
    <w:p w:rsidR="00B2755C" w:rsidRDefault="00B2755C" w:rsidP="00B2755C">
      <w:pPr>
        <w:tabs>
          <w:tab w:val="left" w:pos="-180"/>
        </w:tabs>
        <w:spacing w:line="240" w:lineRule="auto"/>
        <w:rPr>
          <w:rFonts w:ascii="Calibri" w:eastAsia="Calibri" w:hAnsi="Calibri" w:cs="Calibri"/>
          <w:b/>
          <w:sz w:val="36"/>
          <w:szCs w:val="36"/>
        </w:rPr>
      </w:pPr>
    </w:p>
    <w:p w:rsidR="00B2755C" w:rsidRDefault="00B2755C" w:rsidP="00B2755C">
      <w:pPr>
        <w:tabs>
          <w:tab w:val="left" w:pos="-180"/>
        </w:tabs>
        <w:spacing w:line="240" w:lineRule="auto"/>
      </w:pPr>
      <w:r>
        <w:rPr>
          <w:rFonts w:ascii="Calibri" w:eastAsia="Calibri" w:hAnsi="Calibri" w:cs="Calibri"/>
          <w:b/>
          <w:sz w:val="36"/>
          <w:szCs w:val="36"/>
        </w:rPr>
        <w:lastRenderedPageBreak/>
        <w:t>Forecasting Scenarios</w:t>
      </w:r>
    </w:p>
    <w:p w:rsidR="00B2755C" w:rsidRDefault="00B2755C" w:rsidP="00B2755C">
      <w:pPr>
        <w:tabs>
          <w:tab w:val="left" w:pos="-180"/>
        </w:tabs>
        <w:spacing w:line="240" w:lineRule="auto"/>
      </w:pPr>
    </w:p>
    <w:tbl>
      <w:tblPr>
        <w:tblW w:w="9567" w:type="dxa"/>
        <w:tblInd w:w="113" w:type="dxa"/>
        <w:tblLook w:val="04A0" w:firstRow="1" w:lastRow="0" w:firstColumn="1" w:lastColumn="0" w:noHBand="0" w:noVBand="1"/>
      </w:tblPr>
      <w:tblGrid>
        <w:gridCol w:w="2387"/>
        <w:gridCol w:w="1436"/>
        <w:gridCol w:w="1436"/>
        <w:gridCol w:w="1436"/>
        <w:gridCol w:w="1436"/>
        <w:gridCol w:w="1436"/>
      </w:tblGrid>
      <w:tr w:rsidR="00B2755C" w:rsidRPr="003E2A46" w:rsidTr="001E5BE0">
        <w:trPr>
          <w:trHeight w:val="754"/>
        </w:trPr>
        <w:tc>
          <w:tcPr>
            <w:tcW w:w="2387"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Period / Forecasting Scenarios</w:t>
            </w:r>
          </w:p>
        </w:tc>
        <w:tc>
          <w:tcPr>
            <w:tcW w:w="1436" w:type="dxa"/>
            <w:tcBorders>
              <w:top w:val="single" w:sz="4" w:space="0" w:color="auto"/>
              <w:left w:val="nil"/>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 xml:space="preserve">ABS (Antilock </w:t>
            </w:r>
            <w:proofErr w:type="spellStart"/>
            <w:r w:rsidRPr="003E2A46">
              <w:rPr>
                <w:rFonts w:ascii="Calibri" w:eastAsia="Times New Roman" w:hAnsi="Calibri" w:cs="Calibri"/>
                <w:b/>
                <w:bCs/>
                <w:color w:val="auto"/>
                <w:sz w:val="20"/>
                <w:szCs w:val="20"/>
              </w:rPr>
              <w:t>Bracking</w:t>
            </w:r>
            <w:proofErr w:type="spellEnd"/>
            <w:r w:rsidRPr="003E2A46">
              <w:rPr>
                <w:rFonts w:ascii="Calibri" w:eastAsia="Times New Roman" w:hAnsi="Calibri" w:cs="Calibri"/>
                <w:b/>
                <w:bCs/>
                <w:color w:val="auto"/>
                <w:sz w:val="20"/>
                <w:szCs w:val="20"/>
              </w:rPr>
              <w:t>) (Proportion of cars sold)</w:t>
            </w:r>
          </w:p>
        </w:tc>
        <w:tc>
          <w:tcPr>
            <w:tcW w:w="1436" w:type="dxa"/>
            <w:tcBorders>
              <w:top w:val="single" w:sz="4" w:space="0" w:color="auto"/>
              <w:left w:val="nil"/>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Diesel cars in Europe (Proportion of new cars)</w:t>
            </w:r>
          </w:p>
        </w:tc>
        <w:tc>
          <w:tcPr>
            <w:tcW w:w="1436" w:type="dxa"/>
            <w:tcBorders>
              <w:top w:val="single" w:sz="4" w:space="0" w:color="auto"/>
              <w:left w:val="nil"/>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Electronic Fuel Injection (Proportion of car models)</w:t>
            </w:r>
          </w:p>
        </w:tc>
        <w:tc>
          <w:tcPr>
            <w:tcW w:w="1436" w:type="dxa"/>
            <w:tcBorders>
              <w:top w:val="single" w:sz="4" w:space="0" w:color="auto"/>
              <w:left w:val="nil"/>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Average</w:t>
            </w:r>
          </w:p>
        </w:tc>
        <w:tc>
          <w:tcPr>
            <w:tcW w:w="1436" w:type="dxa"/>
            <w:tcBorders>
              <w:top w:val="single" w:sz="4" w:space="0" w:color="auto"/>
              <w:left w:val="nil"/>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Market Potential</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Total Market Potential</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5</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5</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5</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5</w:t>
            </w:r>
          </w:p>
        </w:tc>
        <w:tc>
          <w:tcPr>
            <w:tcW w:w="1436" w:type="dxa"/>
            <w:tcBorders>
              <w:top w:val="nil"/>
              <w:left w:val="nil"/>
              <w:bottom w:val="single" w:sz="4" w:space="0" w:color="auto"/>
              <w:right w:val="single" w:sz="4" w:space="0" w:color="auto"/>
            </w:tcBorders>
            <w:shd w:val="clear" w:color="000000" w:fill="C0C0C0"/>
            <w:noWrap/>
            <w:vAlign w:val="bottom"/>
            <w:hideMark/>
          </w:tcPr>
          <w:p w:rsidR="00B2755C" w:rsidRPr="003E2A46" w:rsidRDefault="00B2755C" w:rsidP="001E5BE0">
            <w:pPr>
              <w:spacing w:line="240" w:lineRule="auto"/>
              <w:rPr>
                <w:rFonts w:ascii="Calibri" w:eastAsia="Times New Roman" w:hAnsi="Calibri" w:cs="Calibri"/>
              </w:rPr>
            </w:pPr>
            <w:r w:rsidRPr="003E2A46">
              <w:rPr>
                <w:rFonts w:ascii="Calibri" w:eastAsia="Times New Roman" w:hAnsi="Calibri" w:cs="Calibri"/>
              </w:rPr>
              <w:t> </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Parameter p</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0.003</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0.006</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0.003</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0.004</w:t>
            </w:r>
          </w:p>
        </w:tc>
        <w:tc>
          <w:tcPr>
            <w:tcW w:w="1436" w:type="dxa"/>
            <w:tcBorders>
              <w:top w:val="nil"/>
              <w:left w:val="nil"/>
              <w:bottom w:val="single" w:sz="4" w:space="0" w:color="auto"/>
              <w:right w:val="single" w:sz="4" w:space="0" w:color="auto"/>
            </w:tcBorders>
            <w:shd w:val="clear" w:color="000000" w:fill="C0C0C0"/>
            <w:noWrap/>
            <w:vAlign w:val="bottom"/>
            <w:hideMark/>
          </w:tcPr>
          <w:p w:rsidR="00B2755C" w:rsidRPr="003E2A46" w:rsidRDefault="00B2755C" w:rsidP="001E5BE0">
            <w:pPr>
              <w:spacing w:line="240" w:lineRule="auto"/>
              <w:rPr>
                <w:rFonts w:ascii="Calibri" w:eastAsia="Times New Roman" w:hAnsi="Calibri" w:cs="Calibri"/>
              </w:rPr>
            </w:pPr>
            <w:r w:rsidRPr="003E2A46">
              <w:rPr>
                <w:rFonts w:ascii="Calibri" w:eastAsia="Times New Roman" w:hAnsi="Calibri" w:cs="Calibri"/>
              </w:rPr>
              <w:t> </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Parameter q</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0.240</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0.140</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0.625</w:t>
            </w:r>
          </w:p>
        </w:tc>
        <w:tc>
          <w:tcPr>
            <w:tcW w:w="1436" w:type="dxa"/>
            <w:tcBorders>
              <w:top w:val="nil"/>
              <w:left w:val="nil"/>
              <w:bottom w:val="single" w:sz="4" w:space="0" w:color="auto"/>
              <w:right w:val="single" w:sz="4" w:space="0" w:color="auto"/>
            </w:tcBorders>
            <w:shd w:val="clear" w:color="000000" w:fill="FFFF99"/>
            <w:vAlign w:val="center"/>
            <w:hideMark/>
          </w:tcPr>
          <w:p w:rsidR="00B2755C" w:rsidRPr="003E2A46" w:rsidRDefault="00B2755C" w:rsidP="001E5BE0">
            <w:pPr>
              <w:spacing w:line="240" w:lineRule="auto"/>
              <w:jc w:val="center"/>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0.335</w:t>
            </w:r>
          </w:p>
        </w:tc>
        <w:tc>
          <w:tcPr>
            <w:tcW w:w="1436" w:type="dxa"/>
            <w:tcBorders>
              <w:top w:val="nil"/>
              <w:left w:val="nil"/>
              <w:bottom w:val="single" w:sz="4" w:space="0" w:color="auto"/>
              <w:right w:val="single" w:sz="4" w:space="0" w:color="auto"/>
            </w:tcBorders>
            <w:shd w:val="clear" w:color="000000" w:fill="C0C0C0"/>
            <w:noWrap/>
            <w:vAlign w:val="bottom"/>
            <w:hideMark/>
          </w:tcPr>
          <w:p w:rsidR="00B2755C" w:rsidRPr="003E2A46" w:rsidRDefault="00B2755C" w:rsidP="001E5BE0">
            <w:pPr>
              <w:spacing w:line="240" w:lineRule="auto"/>
              <w:rPr>
                <w:rFonts w:ascii="Calibri" w:eastAsia="Times New Roman" w:hAnsi="Calibri" w:cs="Calibri"/>
              </w:rPr>
            </w:pPr>
            <w:r w:rsidRPr="003E2A46">
              <w:rPr>
                <w:rFonts w:ascii="Calibri" w:eastAsia="Times New Roman" w:hAnsi="Calibri" w:cs="Calibri"/>
              </w:rPr>
              <w:t> </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0</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0.02</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4.56</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1</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0.04</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0.06</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0.05</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0.05</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4.60</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0.08</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0.11</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0.11</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0.10</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4.76</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3</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0.17</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0.22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0.17</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4.93</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4</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0.18</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0.24</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0.42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0.27</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5.10</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5</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0.24</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0.31</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0.71</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0.39</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5.28</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6</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0.32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0.40</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1.16</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0.55</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5.46</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7</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0.43</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0.49</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1.84</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0.76</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5.65</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8</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0.55</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0.61</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2.76</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1.04</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5.85</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9</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0.76</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0.77</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4.22</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1.51</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6.20</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10</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1.03</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0.97</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5.63</w:t>
            </w:r>
          </w:p>
        </w:tc>
        <w:tc>
          <w:tcPr>
            <w:tcW w:w="1436" w:type="dxa"/>
            <w:tcBorders>
              <w:top w:val="nil"/>
              <w:left w:val="nil"/>
              <w:bottom w:val="single" w:sz="4" w:space="0" w:color="auto"/>
              <w:right w:val="single" w:sz="4" w:space="0" w:color="auto"/>
            </w:tcBorders>
            <w:shd w:val="clear" w:color="auto" w:fill="auto"/>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2.12</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6.58</w:t>
            </w:r>
          </w:p>
        </w:tc>
      </w:tr>
      <w:tr w:rsidR="00B2755C" w:rsidRPr="003E2A46" w:rsidTr="001E5BE0">
        <w:trPr>
          <w:trHeight w:val="221"/>
        </w:trPr>
        <w:tc>
          <w:tcPr>
            <w:tcW w:w="2387" w:type="dxa"/>
            <w:tcBorders>
              <w:top w:val="nil"/>
              <w:left w:val="single" w:sz="4" w:space="0" w:color="auto"/>
              <w:bottom w:val="single" w:sz="4" w:space="0" w:color="auto"/>
              <w:right w:val="single" w:sz="4" w:space="0" w:color="auto"/>
            </w:tcBorders>
            <w:shd w:val="clear" w:color="000000" w:fill="C0C0C0"/>
            <w:vAlign w:val="center"/>
            <w:hideMark/>
          </w:tcPr>
          <w:p w:rsidR="00B2755C" w:rsidRPr="003E2A46" w:rsidRDefault="00B2755C" w:rsidP="001E5BE0">
            <w:pPr>
              <w:spacing w:line="240" w:lineRule="auto"/>
              <w:rPr>
                <w:rFonts w:ascii="Calibri" w:eastAsia="Times New Roman" w:hAnsi="Calibri" w:cs="Calibri"/>
                <w:b/>
                <w:bCs/>
                <w:color w:val="auto"/>
                <w:sz w:val="20"/>
                <w:szCs w:val="20"/>
              </w:rPr>
            </w:pPr>
            <w:r w:rsidRPr="003E2A46">
              <w:rPr>
                <w:rFonts w:ascii="Calibri" w:eastAsia="Times New Roman" w:hAnsi="Calibri" w:cs="Calibri"/>
                <w:b/>
                <w:bCs/>
                <w:color w:val="auto"/>
                <w:sz w:val="20"/>
                <w:szCs w:val="20"/>
              </w:rPr>
              <w:t>11</w:t>
            </w:r>
          </w:p>
        </w:tc>
        <w:tc>
          <w:tcPr>
            <w:tcW w:w="1436" w:type="dxa"/>
            <w:tcBorders>
              <w:top w:val="nil"/>
              <w:left w:val="nil"/>
              <w:bottom w:val="single" w:sz="4" w:space="0" w:color="auto"/>
              <w:right w:val="single" w:sz="4" w:space="0" w:color="auto"/>
            </w:tcBorders>
            <w:shd w:val="clear" w:color="auto" w:fill="FF0000"/>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1.36</w:t>
            </w:r>
          </w:p>
        </w:tc>
        <w:tc>
          <w:tcPr>
            <w:tcW w:w="1436" w:type="dxa"/>
            <w:tcBorders>
              <w:top w:val="nil"/>
              <w:left w:val="nil"/>
              <w:bottom w:val="single" w:sz="4" w:space="0" w:color="auto"/>
              <w:right w:val="single" w:sz="4" w:space="0" w:color="auto"/>
            </w:tcBorders>
            <w:shd w:val="clear" w:color="auto" w:fill="FF0000"/>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1.20</w:t>
            </w:r>
          </w:p>
        </w:tc>
        <w:tc>
          <w:tcPr>
            <w:tcW w:w="1436" w:type="dxa"/>
            <w:tcBorders>
              <w:top w:val="nil"/>
              <w:left w:val="nil"/>
              <w:bottom w:val="single" w:sz="4" w:space="0" w:color="auto"/>
              <w:right w:val="single" w:sz="4" w:space="0" w:color="auto"/>
            </w:tcBorders>
            <w:shd w:val="clear" w:color="auto" w:fill="00B050"/>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6.62</w:t>
            </w:r>
          </w:p>
        </w:tc>
        <w:tc>
          <w:tcPr>
            <w:tcW w:w="1436" w:type="dxa"/>
            <w:tcBorders>
              <w:top w:val="nil"/>
              <w:left w:val="nil"/>
              <w:bottom w:val="single" w:sz="4" w:space="0" w:color="auto"/>
              <w:right w:val="single" w:sz="4" w:space="0" w:color="auto"/>
            </w:tcBorders>
            <w:shd w:val="clear" w:color="auto" w:fill="ED7D31" w:themeFill="accent2"/>
            <w:noWrap/>
            <w:vAlign w:val="center"/>
            <w:hideMark/>
          </w:tcPr>
          <w:p w:rsidR="00B2755C" w:rsidRPr="003E2A46" w:rsidRDefault="00B2755C" w:rsidP="001E5BE0">
            <w:pPr>
              <w:spacing w:line="240" w:lineRule="auto"/>
              <w:jc w:val="center"/>
              <w:rPr>
                <w:rFonts w:ascii="Calibri" w:eastAsia="Times New Roman" w:hAnsi="Calibri" w:cs="Calibri"/>
                <w:sz w:val="20"/>
                <w:szCs w:val="20"/>
              </w:rPr>
            </w:pPr>
            <w:r w:rsidRPr="003E2A46">
              <w:rPr>
                <w:rFonts w:ascii="Calibri" w:eastAsia="Times New Roman" w:hAnsi="Calibri" w:cs="Calibri"/>
                <w:sz w:val="20"/>
                <w:szCs w:val="20"/>
              </w:rPr>
              <w:t>2.87</w:t>
            </w:r>
          </w:p>
        </w:tc>
        <w:tc>
          <w:tcPr>
            <w:tcW w:w="1436" w:type="dxa"/>
            <w:tcBorders>
              <w:top w:val="nil"/>
              <w:left w:val="nil"/>
              <w:bottom w:val="single" w:sz="4" w:space="0" w:color="auto"/>
              <w:right w:val="single" w:sz="4" w:space="0" w:color="auto"/>
            </w:tcBorders>
            <w:shd w:val="clear" w:color="auto" w:fill="auto"/>
            <w:vAlign w:val="center"/>
            <w:hideMark/>
          </w:tcPr>
          <w:p w:rsidR="00B2755C" w:rsidRPr="003E2A46" w:rsidRDefault="00B2755C" w:rsidP="001E5BE0">
            <w:pPr>
              <w:spacing w:line="240" w:lineRule="auto"/>
              <w:jc w:val="center"/>
              <w:rPr>
                <w:rFonts w:ascii="Calibri" w:eastAsia="Times New Roman" w:hAnsi="Calibri" w:cs="Calibri"/>
                <w:color w:val="auto"/>
                <w:sz w:val="20"/>
                <w:szCs w:val="20"/>
              </w:rPr>
            </w:pPr>
            <w:r w:rsidRPr="003E2A46">
              <w:rPr>
                <w:rFonts w:ascii="Calibri" w:eastAsia="Times New Roman" w:hAnsi="Calibri" w:cs="Calibri"/>
                <w:color w:val="auto"/>
                <w:sz w:val="20"/>
                <w:szCs w:val="20"/>
              </w:rPr>
              <w:t>6.97</w:t>
            </w:r>
          </w:p>
        </w:tc>
      </w:tr>
    </w:tbl>
    <w:p w:rsidR="00B2755C" w:rsidRDefault="00B2755C" w:rsidP="00B2755C">
      <w:pPr>
        <w:tabs>
          <w:tab w:val="left" w:pos="-180"/>
        </w:tabs>
        <w:spacing w:line="240" w:lineRule="auto"/>
      </w:pPr>
      <w:r>
        <w:rPr>
          <w:rFonts w:ascii="Calibri" w:eastAsia="Calibri" w:hAnsi="Calibri" w:cs="Calibri"/>
          <w:b/>
          <w:sz w:val="24"/>
          <w:szCs w:val="24"/>
        </w:rPr>
        <w:t xml:space="preserve">ABS - Antilock Braking System </w:t>
      </w:r>
    </w:p>
    <w:p w:rsidR="00B2755C" w:rsidRPr="005D00E1" w:rsidRDefault="00B2755C" w:rsidP="00B2755C">
      <w:pPr>
        <w:pStyle w:val="ListParagraph"/>
        <w:numPr>
          <w:ilvl w:val="0"/>
          <w:numId w:val="6"/>
        </w:numPr>
        <w:tabs>
          <w:tab w:val="left" w:pos="1170"/>
        </w:tabs>
        <w:spacing w:line="240" w:lineRule="auto"/>
        <w:ind w:left="720"/>
        <w:textAlignment w:val="baseline"/>
        <w:rPr>
          <w:rFonts w:ascii="Calibri" w:eastAsia="Times New Roman" w:hAnsi="Calibri" w:cs="Calibri"/>
          <w:sz w:val="24"/>
          <w:szCs w:val="24"/>
        </w:rPr>
      </w:pPr>
      <w:r w:rsidRPr="005D00E1">
        <w:rPr>
          <w:rFonts w:ascii="Calibri" w:eastAsia="Times New Roman" w:hAnsi="Calibri" w:cs="Calibri"/>
          <w:sz w:val="24"/>
          <w:szCs w:val="24"/>
        </w:rPr>
        <w:t xml:space="preserve">After 10 years, ABS attains market potential of 1.36 million. </w:t>
      </w:r>
    </w:p>
    <w:p w:rsidR="00B2755C" w:rsidRPr="005D00E1" w:rsidRDefault="00B2755C" w:rsidP="00B2755C">
      <w:pPr>
        <w:pStyle w:val="ListParagraph"/>
        <w:numPr>
          <w:ilvl w:val="0"/>
          <w:numId w:val="6"/>
        </w:numPr>
        <w:tabs>
          <w:tab w:val="left" w:pos="1170"/>
        </w:tabs>
        <w:spacing w:line="240" w:lineRule="auto"/>
        <w:ind w:left="720"/>
        <w:textAlignment w:val="baseline"/>
        <w:rPr>
          <w:rFonts w:ascii="Calibri" w:eastAsia="Times New Roman" w:hAnsi="Calibri" w:cs="Calibri"/>
          <w:sz w:val="24"/>
          <w:szCs w:val="24"/>
        </w:rPr>
      </w:pPr>
      <w:r w:rsidRPr="005D00E1">
        <w:rPr>
          <w:rFonts w:ascii="Calibri" w:eastAsia="Times New Roman" w:hAnsi="Calibri" w:cs="Calibri"/>
          <w:sz w:val="24"/>
          <w:szCs w:val="24"/>
        </w:rPr>
        <w:t xml:space="preserve">It </w:t>
      </w:r>
      <w:r>
        <w:rPr>
          <w:rFonts w:ascii="Calibri" w:eastAsia="Times New Roman" w:hAnsi="Calibri" w:cs="Calibri"/>
          <w:sz w:val="24"/>
          <w:szCs w:val="24"/>
        </w:rPr>
        <w:t>has</w:t>
      </w:r>
      <w:r w:rsidRPr="005D00E1">
        <w:rPr>
          <w:rFonts w:ascii="Calibri" w:eastAsia="Times New Roman" w:hAnsi="Calibri" w:cs="Calibri"/>
          <w:sz w:val="24"/>
          <w:szCs w:val="24"/>
        </w:rPr>
        <w:t xml:space="preserve"> 20% of overall market potential of 7 million.</w:t>
      </w:r>
    </w:p>
    <w:p w:rsidR="00B2755C" w:rsidRPr="005D00E1" w:rsidRDefault="00B2755C" w:rsidP="00B2755C">
      <w:pPr>
        <w:pStyle w:val="ListParagraph"/>
        <w:numPr>
          <w:ilvl w:val="0"/>
          <w:numId w:val="6"/>
        </w:numPr>
        <w:tabs>
          <w:tab w:val="left" w:pos="1170"/>
        </w:tabs>
        <w:spacing w:line="240" w:lineRule="auto"/>
        <w:ind w:left="720"/>
        <w:textAlignment w:val="baseline"/>
        <w:rPr>
          <w:rFonts w:ascii="Calibri" w:eastAsia="Times New Roman" w:hAnsi="Calibri" w:cs="Calibri"/>
          <w:sz w:val="24"/>
          <w:szCs w:val="24"/>
        </w:rPr>
      </w:pPr>
      <w:r>
        <w:rPr>
          <w:rFonts w:ascii="Calibri" w:eastAsia="Times New Roman" w:hAnsi="Calibri" w:cs="Calibri"/>
          <w:sz w:val="24"/>
          <w:szCs w:val="24"/>
        </w:rPr>
        <w:t>Coefficient of L</w:t>
      </w:r>
      <w:r w:rsidRPr="005D00E1">
        <w:rPr>
          <w:rFonts w:ascii="Calibri" w:eastAsia="Times New Roman" w:hAnsi="Calibri" w:cs="Calibri"/>
          <w:sz w:val="24"/>
          <w:szCs w:val="24"/>
        </w:rPr>
        <w:t>imitation (q) = 0.240 is low. Hence the diffusion of the product in the society is slow throughout the period of 10 years.</w:t>
      </w:r>
    </w:p>
    <w:p w:rsidR="00B2755C" w:rsidRPr="005D00E1" w:rsidRDefault="00B2755C" w:rsidP="00B2755C">
      <w:pPr>
        <w:pStyle w:val="ListParagraph"/>
        <w:numPr>
          <w:ilvl w:val="0"/>
          <w:numId w:val="6"/>
        </w:numPr>
        <w:tabs>
          <w:tab w:val="left" w:pos="1170"/>
        </w:tabs>
        <w:spacing w:before="100" w:beforeAutospacing="1" w:after="100" w:afterAutospacing="1" w:line="240" w:lineRule="auto"/>
        <w:ind w:left="720"/>
        <w:textAlignment w:val="baseline"/>
        <w:rPr>
          <w:rFonts w:ascii="Calibri" w:eastAsia="Times New Roman" w:hAnsi="Calibri" w:cs="Calibri"/>
          <w:sz w:val="24"/>
          <w:szCs w:val="24"/>
        </w:rPr>
      </w:pPr>
      <w:r w:rsidRPr="005D00E1">
        <w:rPr>
          <w:rFonts w:ascii="Calibri" w:eastAsia="Times New Roman" w:hAnsi="Calibri" w:cs="Calibri"/>
          <w:sz w:val="24"/>
          <w:szCs w:val="24"/>
        </w:rPr>
        <w:t>It is a pessimistic scenario because in 10 years the market share achieved is only 20%.</w:t>
      </w:r>
    </w:p>
    <w:p w:rsidR="00B2755C" w:rsidRDefault="00B2755C" w:rsidP="00B2755C">
      <w:pPr>
        <w:tabs>
          <w:tab w:val="left" w:pos="-180"/>
        </w:tabs>
        <w:spacing w:line="240" w:lineRule="auto"/>
      </w:pPr>
      <w:r>
        <w:rPr>
          <w:rFonts w:ascii="Calibri" w:eastAsia="Calibri" w:hAnsi="Calibri" w:cs="Calibri"/>
          <w:b/>
          <w:sz w:val="24"/>
          <w:szCs w:val="24"/>
        </w:rPr>
        <w:t xml:space="preserve">Diesel cars in Europe </w:t>
      </w:r>
    </w:p>
    <w:p w:rsidR="00B2755C" w:rsidRPr="005D00E1" w:rsidRDefault="00B2755C" w:rsidP="00B2755C">
      <w:pPr>
        <w:pStyle w:val="ListParagraph"/>
        <w:numPr>
          <w:ilvl w:val="0"/>
          <w:numId w:val="6"/>
        </w:numPr>
        <w:tabs>
          <w:tab w:val="left" w:pos="1170"/>
        </w:tabs>
        <w:spacing w:line="240" w:lineRule="auto"/>
        <w:ind w:left="720"/>
        <w:textAlignment w:val="baseline"/>
        <w:rPr>
          <w:rFonts w:ascii="Calibri" w:eastAsia="Times New Roman" w:hAnsi="Calibri" w:cs="Calibri"/>
          <w:sz w:val="24"/>
          <w:szCs w:val="24"/>
        </w:rPr>
      </w:pPr>
      <w:r>
        <w:rPr>
          <w:rFonts w:ascii="Calibri" w:eastAsia="Times New Roman" w:hAnsi="Calibri" w:cs="Calibri"/>
          <w:sz w:val="24"/>
          <w:szCs w:val="24"/>
        </w:rPr>
        <w:t>Diesel cars</w:t>
      </w:r>
      <w:r w:rsidRPr="005D00E1">
        <w:rPr>
          <w:rFonts w:ascii="Calibri" w:eastAsia="Times New Roman" w:hAnsi="Calibri" w:cs="Calibri"/>
          <w:sz w:val="24"/>
          <w:szCs w:val="24"/>
        </w:rPr>
        <w:t xml:space="preserve"> attains market potential of 1.</w:t>
      </w:r>
      <w:r>
        <w:rPr>
          <w:rFonts w:ascii="Calibri" w:eastAsia="Times New Roman" w:hAnsi="Calibri" w:cs="Calibri"/>
          <w:sz w:val="24"/>
          <w:szCs w:val="24"/>
        </w:rPr>
        <w:t>20 million in 10 years</w:t>
      </w:r>
    </w:p>
    <w:p w:rsidR="00B2755C" w:rsidRPr="005D00E1" w:rsidRDefault="00B2755C" w:rsidP="00B2755C">
      <w:pPr>
        <w:pStyle w:val="ListParagraph"/>
        <w:numPr>
          <w:ilvl w:val="0"/>
          <w:numId w:val="6"/>
        </w:numPr>
        <w:tabs>
          <w:tab w:val="left" w:pos="1170"/>
        </w:tabs>
        <w:spacing w:line="240" w:lineRule="auto"/>
        <w:ind w:left="720"/>
        <w:textAlignment w:val="baseline"/>
        <w:rPr>
          <w:rFonts w:ascii="Calibri" w:eastAsia="Times New Roman" w:hAnsi="Calibri" w:cs="Calibri"/>
          <w:sz w:val="24"/>
          <w:szCs w:val="24"/>
        </w:rPr>
      </w:pPr>
      <w:r w:rsidRPr="005D00E1">
        <w:rPr>
          <w:rFonts w:ascii="Calibri" w:eastAsia="Times New Roman" w:hAnsi="Calibri" w:cs="Calibri"/>
          <w:sz w:val="24"/>
          <w:szCs w:val="24"/>
        </w:rPr>
        <w:t xml:space="preserve">It </w:t>
      </w:r>
      <w:r>
        <w:rPr>
          <w:rFonts w:ascii="Calibri" w:eastAsia="Times New Roman" w:hAnsi="Calibri" w:cs="Calibri"/>
          <w:sz w:val="24"/>
          <w:szCs w:val="24"/>
        </w:rPr>
        <w:t>has</w:t>
      </w:r>
      <w:r w:rsidRPr="005D00E1">
        <w:rPr>
          <w:rFonts w:ascii="Calibri" w:eastAsia="Times New Roman" w:hAnsi="Calibri" w:cs="Calibri"/>
          <w:sz w:val="24"/>
          <w:szCs w:val="24"/>
        </w:rPr>
        <w:t xml:space="preserve"> </w:t>
      </w:r>
      <w:r>
        <w:rPr>
          <w:rFonts w:ascii="Calibri" w:eastAsia="Times New Roman" w:hAnsi="Calibri" w:cs="Calibri"/>
          <w:sz w:val="24"/>
          <w:szCs w:val="24"/>
        </w:rPr>
        <w:t>17</w:t>
      </w:r>
      <w:r w:rsidRPr="005D00E1">
        <w:rPr>
          <w:rFonts w:ascii="Calibri" w:eastAsia="Times New Roman" w:hAnsi="Calibri" w:cs="Calibri"/>
          <w:sz w:val="24"/>
          <w:szCs w:val="24"/>
        </w:rPr>
        <w:t>% of overall market potential of 7 million.</w:t>
      </w:r>
    </w:p>
    <w:p w:rsidR="00B2755C" w:rsidRPr="005D00E1" w:rsidRDefault="00B2755C" w:rsidP="00B2755C">
      <w:pPr>
        <w:pStyle w:val="ListParagraph"/>
        <w:numPr>
          <w:ilvl w:val="0"/>
          <w:numId w:val="6"/>
        </w:numPr>
        <w:tabs>
          <w:tab w:val="left" w:pos="1170"/>
        </w:tabs>
        <w:spacing w:line="240" w:lineRule="auto"/>
        <w:ind w:left="720"/>
        <w:textAlignment w:val="baseline"/>
        <w:rPr>
          <w:rFonts w:ascii="Calibri" w:eastAsia="Times New Roman" w:hAnsi="Calibri" w:cs="Calibri"/>
          <w:sz w:val="24"/>
          <w:szCs w:val="24"/>
        </w:rPr>
      </w:pPr>
      <w:r>
        <w:rPr>
          <w:rFonts w:ascii="Calibri" w:eastAsia="Times New Roman" w:hAnsi="Calibri" w:cs="Calibri"/>
          <w:sz w:val="24"/>
          <w:szCs w:val="24"/>
        </w:rPr>
        <w:t>Coefficient of Limitation (q) = 0.140</w:t>
      </w:r>
      <w:r w:rsidRPr="005D00E1">
        <w:rPr>
          <w:rFonts w:ascii="Calibri" w:eastAsia="Times New Roman" w:hAnsi="Calibri" w:cs="Calibri"/>
          <w:sz w:val="24"/>
          <w:szCs w:val="24"/>
        </w:rPr>
        <w:t xml:space="preserve"> is</w:t>
      </w:r>
      <w:r>
        <w:rPr>
          <w:rFonts w:ascii="Calibri" w:eastAsia="Times New Roman" w:hAnsi="Calibri" w:cs="Calibri"/>
          <w:sz w:val="24"/>
          <w:szCs w:val="24"/>
        </w:rPr>
        <w:t xml:space="preserve"> very</w:t>
      </w:r>
      <w:r w:rsidRPr="005D00E1">
        <w:rPr>
          <w:rFonts w:ascii="Calibri" w:eastAsia="Times New Roman" w:hAnsi="Calibri" w:cs="Calibri"/>
          <w:sz w:val="24"/>
          <w:szCs w:val="24"/>
        </w:rPr>
        <w:t xml:space="preserve"> low. Hence the diffusion of the product in the society is </w:t>
      </w:r>
      <w:r>
        <w:rPr>
          <w:rFonts w:ascii="Calibri" w:eastAsia="Times New Roman" w:hAnsi="Calibri" w:cs="Calibri"/>
          <w:sz w:val="24"/>
          <w:szCs w:val="24"/>
        </w:rPr>
        <w:t xml:space="preserve">very </w:t>
      </w:r>
      <w:r w:rsidRPr="005D00E1">
        <w:rPr>
          <w:rFonts w:ascii="Calibri" w:eastAsia="Times New Roman" w:hAnsi="Calibri" w:cs="Calibri"/>
          <w:sz w:val="24"/>
          <w:szCs w:val="24"/>
        </w:rPr>
        <w:t>slow throughout the period of 10 years.</w:t>
      </w:r>
    </w:p>
    <w:p w:rsidR="00B2755C" w:rsidRPr="00CE55A9" w:rsidRDefault="00B2755C" w:rsidP="00B2755C">
      <w:pPr>
        <w:pStyle w:val="ListParagraph"/>
        <w:numPr>
          <w:ilvl w:val="0"/>
          <w:numId w:val="6"/>
        </w:numPr>
        <w:tabs>
          <w:tab w:val="left" w:pos="1170"/>
        </w:tabs>
        <w:spacing w:before="100" w:beforeAutospacing="1" w:after="100" w:afterAutospacing="1" w:line="240" w:lineRule="auto"/>
        <w:ind w:left="720"/>
        <w:textAlignment w:val="baseline"/>
        <w:rPr>
          <w:rFonts w:ascii="Calibri" w:eastAsia="Times New Roman" w:hAnsi="Calibri" w:cs="Calibri"/>
          <w:sz w:val="24"/>
          <w:szCs w:val="24"/>
        </w:rPr>
      </w:pPr>
      <w:r w:rsidRPr="005D00E1">
        <w:rPr>
          <w:rFonts w:ascii="Calibri" w:eastAsia="Times New Roman" w:hAnsi="Calibri" w:cs="Calibri"/>
          <w:sz w:val="24"/>
          <w:szCs w:val="24"/>
        </w:rPr>
        <w:t xml:space="preserve">It is a pessimistic scenario because in 10 years the market share achieved is only </w:t>
      </w:r>
      <w:r>
        <w:rPr>
          <w:rFonts w:ascii="Calibri" w:eastAsia="Times New Roman" w:hAnsi="Calibri" w:cs="Calibri"/>
          <w:sz w:val="24"/>
          <w:szCs w:val="24"/>
        </w:rPr>
        <w:t>17%</w:t>
      </w:r>
    </w:p>
    <w:p w:rsidR="00B2755C" w:rsidRPr="005D00E1" w:rsidRDefault="00B2755C" w:rsidP="00B2755C">
      <w:pPr>
        <w:tabs>
          <w:tab w:val="left" w:pos="-180"/>
        </w:tabs>
        <w:spacing w:line="240" w:lineRule="auto"/>
      </w:pPr>
      <w:r>
        <w:rPr>
          <w:rFonts w:ascii="Calibri" w:eastAsia="Calibri" w:hAnsi="Calibri" w:cs="Calibri"/>
          <w:b/>
          <w:sz w:val="24"/>
          <w:szCs w:val="24"/>
        </w:rPr>
        <w:t xml:space="preserve">Electronic Fuel injection </w:t>
      </w:r>
      <w:r w:rsidRPr="005D00E1">
        <w:rPr>
          <w:rFonts w:ascii="Calibri" w:eastAsia="Calibri" w:hAnsi="Calibri" w:cs="Calibri"/>
          <w:sz w:val="24"/>
          <w:szCs w:val="24"/>
        </w:rPr>
        <w:t xml:space="preserve"> </w:t>
      </w:r>
    </w:p>
    <w:p w:rsidR="00B2755C" w:rsidRPr="005D00E1" w:rsidRDefault="00B2755C" w:rsidP="00B2755C">
      <w:pPr>
        <w:pStyle w:val="ListParagraph"/>
        <w:numPr>
          <w:ilvl w:val="0"/>
          <w:numId w:val="5"/>
        </w:numPr>
        <w:tabs>
          <w:tab w:val="left" w:pos="-180"/>
        </w:tabs>
        <w:spacing w:line="240" w:lineRule="auto"/>
        <w:rPr>
          <w:rFonts w:ascii="Calibri" w:eastAsia="Calibri" w:hAnsi="Calibri" w:cs="Calibri"/>
          <w:sz w:val="24"/>
          <w:szCs w:val="24"/>
        </w:rPr>
      </w:pPr>
      <w:r w:rsidRPr="005D00E1">
        <w:rPr>
          <w:rFonts w:ascii="Calibri" w:eastAsia="Calibri" w:hAnsi="Calibri" w:cs="Calibri"/>
          <w:sz w:val="24"/>
          <w:szCs w:val="24"/>
        </w:rPr>
        <w:t>This is the best scenario among the three analogous products.</w:t>
      </w:r>
    </w:p>
    <w:p w:rsidR="00B2755C" w:rsidRPr="005D00E1" w:rsidRDefault="00B2755C" w:rsidP="00B2755C">
      <w:pPr>
        <w:pStyle w:val="ListParagraph"/>
        <w:numPr>
          <w:ilvl w:val="0"/>
          <w:numId w:val="5"/>
        </w:numPr>
        <w:tabs>
          <w:tab w:val="left" w:pos="-180"/>
        </w:tabs>
        <w:spacing w:line="240" w:lineRule="auto"/>
        <w:rPr>
          <w:rFonts w:ascii="Calibri" w:eastAsia="Calibri" w:hAnsi="Calibri" w:cs="Calibri"/>
          <w:sz w:val="24"/>
          <w:szCs w:val="24"/>
        </w:rPr>
      </w:pPr>
      <w:r>
        <w:rPr>
          <w:rFonts w:ascii="Calibri" w:eastAsia="Times New Roman" w:hAnsi="Calibri" w:cs="Calibri"/>
          <w:sz w:val="24"/>
          <w:szCs w:val="24"/>
        </w:rPr>
        <w:t>Coefficient of L</w:t>
      </w:r>
      <w:r w:rsidRPr="005D00E1">
        <w:rPr>
          <w:rFonts w:ascii="Calibri" w:eastAsia="Times New Roman" w:hAnsi="Calibri" w:cs="Calibri"/>
          <w:sz w:val="24"/>
          <w:szCs w:val="24"/>
        </w:rPr>
        <w:t xml:space="preserve">imitation (q) = </w:t>
      </w:r>
      <w:r>
        <w:rPr>
          <w:rFonts w:ascii="Calibri" w:eastAsia="Times New Roman" w:hAnsi="Calibri" w:cs="Calibri"/>
          <w:sz w:val="24"/>
          <w:szCs w:val="24"/>
        </w:rPr>
        <w:t>0.625,</w:t>
      </w:r>
      <w:r>
        <w:rPr>
          <w:rFonts w:ascii="Calibri" w:eastAsia="Calibri" w:hAnsi="Calibri" w:cs="Calibri"/>
          <w:sz w:val="24"/>
          <w:szCs w:val="24"/>
        </w:rPr>
        <w:t xml:space="preserve"> </w:t>
      </w:r>
      <w:r w:rsidRPr="005D00E1">
        <w:rPr>
          <w:rFonts w:ascii="Calibri" w:eastAsia="Calibri" w:hAnsi="Calibri" w:cs="Calibri"/>
          <w:sz w:val="24"/>
          <w:szCs w:val="24"/>
        </w:rPr>
        <w:t>comparatively higher than other 2 product</w:t>
      </w:r>
      <w:r>
        <w:rPr>
          <w:rFonts w:ascii="Calibri" w:eastAsia="Calibri" w:hAnsi="Calibri" w:cs="Calibri"/>
          <w:sz w:val="24"/>
          <w:szCs w:val="24"/>
        </w:rPr>
        <w:t>s.</w:t>
      </w:r>
    </w:p>
    <w:p w:rsidR="00B2755C" w:rsidRPr="00A64430" w:rsidRDefault="00B2755C" w:rsidP="00B2755C">
      <w:pPr>
        <w:pStyle w:val="ListParagraph"/>
        <w:numPr>
          <w:ilvl w:val="0"/>
          <w:numId w:val="5"/>
        </w:numPr>
        <w:tabs>
          <w:tab w:val="left" w:pos="-180"/>
        </w:tabs>
        <w:spacing w:line="240" w:lineRule="auto"/>
      </w:pPr>
      <w:r>
        <w:rPr>
          <w:rFonts w:ascii="Calibri" w:eastAsia="Calibri" w:hAnsi="Calibri" w:cs="Calibri"/>
          <w:sz w:val="24"/>
          <w:szCs w:val="24"/>
        </w:rPr>
        <w:t>After 10years, EFI achieves market share of</w:t>
      </w:r>
      <w:r w:rsidRPr="005D00E1">
        <w:rPr>
          <w:rFonts w:ascii="Calibri" w:eastAsia="Calibri" w:hAnsi="Calibri" w:cs="Calibri"/>
          <w:sz w:val="24"/>
          <w:szCs w:val="24"/>
        </w:rPr>
        <w:t xml:space="preserve"> 95%</w:t>
      </w:r>
      <w:r>
        <w:rPr>
          <w:rFonts w:ascii="Calibri" w:eastAsia="Calibri" w:hAnsi="Calibri" w:cs="Calibri"/>
          <w:sz w:val="24"/>
          <w:szCs w:val="24"/>
        </w:rPr>
        <w:t xml:space="preserve"> which is very good.</w:t>
      </w:r>
    </w:p>
    <w:p w:rsidR="00B2755C" w:rsidRDefault="00B2755C" w:rsidP="00B2755C">
      <w:pPr>
        <w:tabs>
          <w:tab w:val="left" w:pos="-180"/>
        </w:tabs>
        <w:spacing w:line="240" w:lineRule="auto"/>
      </w:pPr>
    </w:p>
    <w:p w:rsidR="00B2755C" w:rsidRDefault="00B2755C" w:rsidP="00B2755C">
      <w:pPr>
        <w:tabs>
          <w:tab w:val="left" w:pos="-180"/>
        </w:tabs>
        <w:spacing w:line="240" w:lineRule="auto"/>
      </w:pPr>
    </w:p>
    <w:p w:rsidR="00B2755C" w:rsidRDefault="00B2755C" w:rsidP="00B2755C">
      <w:pPr>
        <w:tabs>
          <w:tab w:val="left" w:pos="-180"/>
        </w:tabs>
        <w:spacing w:line="240" w:lineRule="auto"/>
        <w:rPr>
          <w:b/>
        </w:rPr>
      </w:pPr>
    </w:p>
    <w:p w:rsidR="00B2755C" w:rsidRDefault="00B2755C" w:rsidP="00B2755C">
      <w:pPr>
        <w:tabs>
          <w:tab w:val="left" w:pos="-180"/>
        </w:tabs>
        <w:spacing w:line="240" w:lineRule="auto"/>
        <w:rPr>
          <w:b/>
        </w:rPr>
      </w:pPr>
    </w:p>
    <w:p w:rsidR="00B2755C" w:rsidRDefault="00B2755C" w:rsidP="00B2755C">
      <w:pPr>
        <w:tabs>
          <w:tab w:val="left" w:pos="-180"/>
        </w:tabs>
        <w:spacing w:line="240" w:lineRule="auto"/>
        <w:rPr>
          <w:b/>
        </w:rPr>
      </w:pPr>
    </w:p>
    <w:p w:rsidR="00B2755C" w:rsidRDefault="00B2755C" w:rsidP="00B2755C">
      <w:pPr>
        <w:tabs>
          <w:tab w:val="left" w:pos="-180"/>
        </w:tabs>
        <w:spacing w:line="240" w:lineRule="auto"/>
        <w:rPr>
          <w:b/>
        </w:rPr>
      </w:pPr>
    </w:p>
    <w:p w:rsidR="00B2755C" w:rsidRDefault="00B2755C" w:rsidP="00B2755C">
      <w:pPr>
        <w:tabs>
          <w:tab w:val="left" w:pos="-180"/>
        </w:tabs>
        <w:spacing w:line="240" w:lineRule="auto"/>
        <w:rPr>
          <w:b/>
        </w:rPr>
      </w:pPr>
    </w:p>
    <w:p w:rsidR="00B2755C" w:rsidRDefault="00B2755C" w:rsidP="00B2755C">
      <w:pPr>
        <w:tabs>
          <w:tab w:val="left" w:pos="-180"/>
        </w:tabs>
        <w:spacing w:line="240" w:lineRule="auto"/>
        <w:rPr>
          <w:b/>
        </w:rPr>
      </w:pPr>
      <w:r w:rsidRPr="00A64430">
        <w:rPr>
          <w:b/>
        </w:rPr>
        <w:lastRenderedPageBreak/>
        <w:t xml:space="preserve">Results: </w:t>
      </w:r>
    </w:p>
    <w:p w:rsidR="00B2755C" w:rsidRPr="00A64430" w:rsidRDefault="00B2755C" w:rsidP="00B2755C">
      <w:pPr>
        <w:tabs>
          <w:tab w:val="left" w:pos="-180"/>
        </w:tabs>
        <w:spacing w:line="240" w:lineRule="auto"/>
        <w:rPr>
          <w:b/>
        </w:rPr>
      </w:pPr>
      <w:r>
        <w:rPr>
          <w:b/>
        </w:rPr>
        <w:t>Forecasted market potential</w:t>
      </w:r>
      <w:r>
        <w:rPr>
          <w:b/>
        </w:rPr>
        <w:t xml:space="preserve"> for Ford Hybrid model is 6.9 </w:t>
      </w:r>
      <w:proofErr w:type="spellStart"/>
      <w:r>
        <w:rPr>
          <w:b/>
        </w:rPr>
        <w:t>miilion</w:t>
      </w:r>
      <w:proofErr w:type="spellEnd"/>
      <w:r>
        <w:rPr>
          <w:b/>
        </w:rPr>
        <w:t xml:space="preserve"> in 10 years</w:t>
      </w:r>
      <w:r>
        <w:rPr>
          <w:b/>
        </w:rPr>
        <w:t>.</w:t>
      </w:r>
    </w:p>
    <w:p w:rsidR="00B2755C" w:rsidRDefault="00B2755C" w:rsidP="00B2755C">
      <w:pPr>
        <w:tabs>
          <w:tab w:val="left" w:pos="-180"/>
        </w:tabs>
        <w:spacing w:line="240" w:lineRule="auto"/>
      </w:pPr>
    </w:p>
    <w:p w:rsidR="00B2755C" w:rsidRDefault="00B2755C" w:rsidP="00B2755C">
      <w:pPr>
        <w:tabs>
          <w:tab w:val="left" w:pos="-180"/>
        </w:tabs>
        <w:spacing w:line="240" w:lineRule="auto"/>
      </w:pPr>
      <w:r>
        <w:rPr>
          <w:noProof/>
        </w:rPr>
        <w:drawing>
          <wp:inline distT="0" distB="0" distL="0" distR="0" wp14:anchorId="4792CA86" wp14:editId="657040B5">
            <wp:extent cx="5943600" cy="3886835"/>
            <wp:effectExtent l="0" t="0" r="0" b="18415"/>
            <wp:docPr id="2" name="Chart 2">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598F" w:rsidRDefault="00CA598F">
      <w:pPr>
        <w:tabs>
          <w:tab w:val="left" w:pos="-180"/>
        </w:tabs>
        <w:spacing w:line="240" w:lineRule="auto"/>
      </w:pPr>
    </w:p>
    <w:p w:rsidR="00CA598F" w:rsidRDefault="00CA598F">
      <w:pPr>
        <w:tabs>
          <w:tab w:val="left" w:pos="-180"/>
        </w:tabs>
        <w:spacing w:line="240" w:lineRule="auto"/>
      </w:pPr>
    </w:p>
    <w:p w:rsidR="00CA598F" w:rsidRDefault="00CA598F">
      <w:pPr>
        <w:tabs>
          <w:tab w:val="left" w:pos="-180"/>
        </w:tabs>
        <w:spacing w:line="240" w:lineRule="auto"/>
      </w:pPr>
    </w:p>
    <w:p w:rsidR="00CA598F" w:rsidRDefault="00A65D9C">
      <w:pPr>
        <w:tabs>
          <w:tab w:val="left" w:pos="-180"/>
        </w:tabs>
        <w:spacing w:line="240" w:lineRule="auto"/>
      </w:pPr>
      <w:r>
        <w:rPr>
          <w:rFonts w:ascii="Calibri" w:eastAsia="Calibri" w:hAnsi="Calibri" w:cs="Calibri"/>
          <w:b/>
          <w:sz w:val="24"/>
          <w:szCs w:val="24"/>
        </w:rPr>
        <w:t>Question3:  Recommend short-term and long-term strategies that Ford should pursue based on the forecasts that you develop.</w:t>
      </w:r>
    </w:p>
    <w:p w:rsidR="00CA598F" w:rsidRDefault="00CA598F">
      <w:pPr>
        <w:tabs>
          <w:tab w:val="left" w:pos="-180"/>
        </w:tabs>
        <w:spacing w:line="240" w:lineRule="auto"/>
      </w:pPr>
    </w:p>
    <w:p w:rsidR="00CA598F" w:rsidRDefault="00A65D9C">
      <w:pPr>
        <w:tabs>
          <w:tab w:val="left" w:pos="-180"/>
        </w:tabs>
        <w:spacing w:line="240" w:lineRule="auto"/>
        <w:rPr>
          <w:rFonts w:ascii="Calibri" w:eastAsia="Calibri" w:hAnsi="Calibri" w:cs="Calibri"/>
          <w:sz w:val="24"/>
          <w:szCs w:val="24"/>
        </w:rPr>
      </w:pPr>
      <w:r>
        <w:rPr>
          <w:rFonts w:ascii="Calibri" w:eastAsia="Calibri" w:hAnsi="Calibri" w:cs="Calibri"/>
          <w:sz w:val="24"/>
          <w:szCs w:val="24"/>
        </w:rPr>
        <w:t xml:space="preserve">According to forecast we </w:t>
      </w:r>
      <w:proofErr w:type="spellStart"/>
      <w:proofErr w:type="gramStart"/>
      <w:r>
        <w:rPr>
          <w:rFonts w:ascii="Calibri" w:eastAsia="Calibri" w:hAnsi="Calibri" w:cs="Calibri"/>
          <w:sz w:val="24"/>
          <w:szCs w:val="24"/>
        </w:rPr>
        <w:t>developed,Ford</w:t>
      </w:r>
      <w:proofErr w:type="spellEnd"/>
      <w:proofErr w:type="gramEnd"/>
      <w:r>
        <w:rPr>
          <w:rFonts w:ascii="Calibri" w:eastAsia="Calibri" w:hAnsi="Calibri" w:cs="Calibri"/>
          <w:sz w:val="24"/>
          <w:szCs w:val="24"/>
        </w:rPr>
        <w:t xml:space="preserve"> should adopt following short term and long term strategies.</w:t>
      </w:r>
    </w:p>
    <w:p w:rsidR="00A65D9C" w:rsidRDefault="00A65D9C">
      <w:pPr>
        <w:tabs>
          <w:tab w:val="left" w:pos="-180"/>
        </w:tabs>
        <w:spacing w:line="240" w:lineRule="auto"/>
      </w:pPr>
    </w:p>
    <w:p w:rsidR="00CA598F" w:rsidRPr="00A65D9C" w:rsidRDefault="00A65D9C">
      <w:pPr>
        <w:tabs>
          <w:tab w:val="left" w:pos="-180"/>
        </w:tabs>
        <w:spacing w:line="240" w:lineRule="auto"/>
        <w:rPr>
          <w:b/>
        </w:rPr>
      </w:pPr>
      <w:r w:rsidRPr="00A65D9C">
        <w:rPr>
          <w:rFonts w:ascii="Calibri" w:eastAsia="Calibri" w:hAnsi="Calibri" w:cs="Calibri"/>
          <w:b/>
          <w:sz w:val="24"/>
          <w:szCs w:val="24"/>
        </w:rPr>
        <w:t>Short term strategy</w:t>
      </w:r>
    </w:p>
    <w:p w:rsidR="00CA598F" w:rsidRDefault="00A65D9C">
      <w:pPr>
        <w:tabs>
          <w:tab w:val="left" w:pos="-180"/>
        </w:tabs>
        <w:spacing w:line="240" w:lineRule="auto"/>
      </w:pPr>
      <w:r>
        <w:rPr>
          <w:rFonts w:ascii="Calibri" w:eastAsia="Calibri" w:hAnsi="Calibri" w:cs="Calibri"/>
          <w:sz w:val="24"/>
          <w:szCs w:val="24"/>
        </w:rPr>
        <w:br/>
        <w:t>•New Marketing mix for increasing brand awareness and sales:</w:t>
      </w:r>
    </w:p>
    <w:p w:rsidR="00CA598F" w:rsidRDefault="00A65D9C">
      <w:pPr>
        <w:tabs>
          <w:tab w:val="left" w:pos="-180"/>
        </w:tabs>
        <w:spacing w:line="240" w:lineRule="auto"/>
      </w:pPr>
      <w:r>
        <w:rPr>
          <w:rFonts w:ascii="Calibri" w:eastAsia="Calibri" w:hAnsi="Calibri" w:cs="Calibri"/>
          <w:sz w:val="24"/>
          <w:szCs w:val="24"/>
        </w:rPr>
        <w:t>Product:</w:t>
      </w:r>
    </w:p>
    <w:p w:rsidR="00CA598F" w:rsidRDefault="00A65D9C">
      <w:pPr>
        <w:tabs>
          <w:tab w:val="left" w:pos="-180"/>
        </w:tabs>
        <w:spacing w:line="240" w:lineRule="auto"/>
      </w:pPr>
      <w:proofErr w:type="spellStart"/>
      <w:proofErr w:type="gramStart"/>
      <w:r>
        <w:rPr>
          <w:rFonts w:ascii="Calibri" w:eastAsia="Calibri" w:hAnsi="Calibri" w:cs="Calibri"/>
          <w:sz w:val="24"/>
          <w:szCs w:val="24"/>
        </w:rPr>
        <w:t>Price:The</w:t>
      </w:r>
      <w:proofErr w:type="spellEnd"/>
      <w:proofErr w:type="gramEnd"/>
      <w:r>
        <w:rPr>
          <w:rFonts w:ascii="Calibri" w:eastAsia="Calibri" w:hAnsi="Calibri" w:cs="Calibri"/>
          <w:sz w:val="24"/>
          <w:szCs w:val="24"/>
        </w:rPr>
        <w:t xml:space="preserve"> price should be competitive compared to other hybrid ca</w:t>
      </w:r>
      <w:r>
        <w:rPr>
          <w:rFonts w:ascii="Calibri" w:eastAsia="Calibri" w:hAnsi="Calibri" w:cs="Calibri"/>
          <w:sz w:val="24"/>
          <w:szCs w:val="24"/>
        </w:rPr>
        <w:t>rs available with better stand out features.</w:t>
      </w:r>
    </w:p>
    <w:p w:rsidR="00CA598F" w:rsidRDefault="00A65D9C">
      <w:pPr>
        <w:tabs>
          <w:tab w:val="left" w:pos="-180"/>
        </w:tabs>
        <w:spacing w:line="240" w:lineRule="auto"/>
      </w:pPr>
      <w:proofErr w:type="spellStart"/>
      <w:proofErr w:type="gramStart"/>
      <w:r>
        <w:rPr>
          <w:rFonts w:ascii="Calibri" w:eastAsia="Calibri" w:hAnsi="Calibri" w:cs="Calibri"/>
          <w:sz w:val="24"/>
          <w:szCs w:val="24"/>
        </w:rPr>
        <w:t>Promotion:Ford</w:t>
      </w:r>
      <w:proofErr w:type="spellEnd"/>
      <w:proofErr w:type="gramEnd"/>
      <w:r>
        <w:rPr>
          <w:rFonts w:ascii="Calibri" w:eastAsia="Calibri" w:hAnsi="Calibri" w:cs="Calibri"/>
          <w:sz w:val="24"/>
          <w:szCs w:val="24"/>
        </w:rPr>
        <w:t xml:space="preserve"> can be promoted using medium as television advertisements, </w:t>
      </w:r>
      <w:proofErr w:type="spellStart"/>
      <w:r>
        <w:rPr>
          <w:rFonts w:ascii="Calibri" w:eastAsia="Calibri" w:hAnsi="Calibri" w:cs="Calibri"/>
          <w:sz w:val="24"/>
          <w:szCs w:val="24"/>
        </w:rPr>
        <w:t>internet,consumer</w:t>
      </w:r>
      <w:proofErr w:type="spellEnd"/>
      <w:r>
        <w:rPr>
          <w:rFonts w:ascii="Calibri" w:eastAsia="Calibri" w:hAnsi="Calibri" w:cs="Calibri"/>
          <w:sz w:val="24"/>
          <w:szCs w:val="24"/>
        </w:rPr>
        <w:t xml:space="preserve"> education campaigns and also free test drive at ford show rooms which special offers.</w:t>
      </w:r>
    </w:p>
    <w:p w:rsidR="00CA598F" w:rsidRDefault="00A65D9C">
      <w:pPr>
        <w:tabs>
          <w:tab w:val="left" w:pos="-180"/>
        </w:tabs>
        <w:spacing w:line="240" w:lineRule="auto"/>
      </w:pPr>
      <w:proofErr w:type="spellStart"/>
      <w:proofErr w:type="gramStart"/>
      <w:r>
        <w:rPr>
          <w:rFonts w:ascii="Calibri" w:eastAsia="Calibri" w:hAnsi="Calibri" w:cs="Calibri"/>
          <w:sz w:val="24"/>
          <w:szCs w:val="24"/>
        </w:rPr>
        <w:t>Place:Targeting</w:t>
      </w:r>
      <w:proofErr w:type="spellEnd"/>
      <w:proofErr w:type="gramEnd"/>
      <w:r>
        <w:rPr>
          <w:rFonts w:ascii="Calibri" w:eastAsia="Calibri" w:hAnsi="Calibri" w:cs="Calibri"/>
          <w:sz w:val="24"/>
          <w:szCs w:val="24"/>
        </w:rPr>
        <w:t xml:space="preserve"> state where tax c</w:t>
      </w:r>
      <w:r>
        <w:rPr>
          <w:rFonts w:ascii="Calibri" w:eastAsia="Calibri" w:hAnsi="Calibri" w:cs="Calibri"/>
          <w:sz w:val="24"/>
          <w:szCs w:val="24"/>
        </w:rPr>
        <w:t xml:space="preserve">redits are </w:t>
      </w:r>
      <w:proofErr w:type="spellStart"/>
      <w:r>
        <w:rPr>
          <w:rFonts w:ascii="Calibri" w:eastAsia="Calibri" w:hAnsi="Calibri" w:cs="Calibri"/>
          <w:sz w:val="24"/>
          <w:szCs w:val="24"/>
        </w:rPr>
        <w:t>available,sales</w:t>
      </w:r>
      <w:proofErr w:type="spellEnd"/>
      <w:r>
        <w:rPr>
          <w:rFonts w:ascii="Calibri" w:eastAsia="Calibri" w:hAnsi="Calibri" w:cs="Calibri"/>
          <w:sz w:val="24"/>
          <w:szCs w:val="24"/>
        </w:rPr>
        <w:t xml:space="preserve"> tax exemption and environmental regulations.</w:t>
      </w:r>
    </w:p>
    <w:p w:rsidR="00B2755C" w:rsidRDefault="00B2755C">
      <w:pPr>
        <w:tabs>
          <w:tab w:val="left" w:pos="-180"/>
        </w:tabs>
        <w:spacing w:line="240" w:lineRule="auto"/>
        <w:rPr>
          <w:rFonts w:ascii="Calibri" w:eastAsia="Calibri" w:hAnsi="Calibri" w:cs="Calibri"/>
          <w:sz w:val="24"/>
          <w:szCs w:val="24"/>
        </w:rPr>
      </w:pPr>
    </w:p>
    <w:p w:rsidR="00CA598F" w:rsidRDefault="00A65D9C">
      <w:pPr>
        <w:tabs>
          <w:tab w:val="left" w:pos="-180"/>
        </w:tabs>
        <w:spacing w:line="240" w:lineRule="auto"/>
      </w:pPr>
      <w:r>
        <w:rPr>
          <w:rFonts w:ascii="Calibri" w:eastAsia="Calibri" w:hAnsi="Calibri" w:cs="Calibri"/>
          <w:sz w:val="24"/>
          <w:szCs w:val="24"/>
        </w:rPr>
        <w:lastRenderedPageBreak/>
        <w:t>•Cost cutting</w:t>
      </w:r>
    </w:p>
    <w:p w:rsidR="00CA598F" w:rsidRDefault="00A65D9C" w:rsidP="00A65D9C">
      <w:pPr>
        <w:tabs>
          <w:tab w:val="left" w:pos="-180"/>
          <w:tab w:val="left" w:pos="360"/>
        </w:tabs>
        <w:spacing w:line="240" w:lineRule="auto"/>
      </w:pPr>
      <w:r>
        <w:rPr>
          <w:rFonts w:ascii="Calibri" w:eastAsia="Calibri" w:hAnsi="Calibri" w:cs="Calibri"/>
          <w:sz w:val="24"/>
          <w:szCs w:val="24"/>
        </w:rPr>
        <w:tab/>
      </w:r>
      <w:r>
        <w:rPr>
          <w:rFonts w:ascii="Calibri" w:eastAsia="Calibri" w:hAnsi="Calibri" w:cs="Calibri"/>
          <w:sz w:val="24"/>
          <w:szCs w:val="24"/>
        </w:rPr>
        <w:t>-Overhead cost reduction</w:t>
      </w:r>
    </w:p>
    <w:p w:rsidR="00CA598F" w:rsidRDefault="00A65D9C">
      <w:pPr>
        <w:tabs>
          <w:tab w:val="left" w:pos="-180"/>
        </w:tabs>
        <w:spacing w:line="240" w:lineRule="auto"/>
      </w:pPr>
      <w:r>
        <w:rPr>
          <w:rFonts w:ascii="Calibri" w:eastAsia="Calibri" w:hAnsi="Calibri" w:cs="Calibri"/>
          <w:sz w:val="24"/>
          <w:szCs w:val="24"/>
        </w:rPr>
        <w:br/>
        <w:t>•Hedging</w:t>
      </w:r>
    </w:p>
    <w:p w:rsidR="00CA598F" w:rsidRDefault="00A65D9C" w:rsidP="00A65D9C">
      <w:pPr>
        <w:tabs>
          <w:tab w:val="left" w:pos="-180"/>
          <w:tab w:val="left" w:pos="720"/>
        </w:tabs>
        <w:spacing w:line="240" w:lineRule="auto"/>
        <w:ind w:left="45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Investing in flexible manufacturing</w:t>
      </w:r>
      <w:r>
        <w:rPr>
          <w:rFonts w:ascii="Calibri" w:eastAsia="Calibri" w:hAnsi="Calibri" w:cs="Calibri"/>
          <w:sz w:val="24"/>
          <w:szCs w:val="24"/>
        </w:rPr>
        <w:br/>
      </w:r>
      <w:r>
        <w:rPr>
          <w:rFonts w:ascii="Calibri" w:eastAsia="Calibri" w:hAnsi="Calibri" w:cs="Calibri"/>
          <w:sz w:val="24"/>
          <w:szCs w:val="24"/>
        </w:rPr>
        <w:t>-Invest in other renewables</w:t>
      </w:r>
    </w:p>
    <w:p w:rsidR="00A65D9C" w:rsidRDefault="00A65D9C" w:rsidP="00A65D9C">
      <w:pPr>
        <w:tabs>
          <w:tab w:val="left" w:pos="-180"/>
          <w:tab w:val="left" w:pos="720"/>
        </w:tabs>
        <w:spacing w:line="240" w:lineRule="auto"/>
        <w:ind w:left="450"/>
      </w:pPr>
    </w:p>
    <w:p w:rsidR="00A65D9C" w:rsidRDefault="00A65D9C" w:rsidP="00A65D9C">
      <w:pPr>
        <w:tabs>
          <w:tab w:val="left" w:pos="-180"/>
        </w:tabs>
        <w:spacing w:line="240" w:lineRule="auto"/>
        <w:ind w:left="450" w:hanging="450"/>
        <w:rPr>
          <w:rFonts w:ascii="Calibri" w:eastAsia="Calibri" w:hAnsi="Calibri" w:cs="Calibri"/>
          <w:sz w:val="24"/>
          <w:szCs w:val="24"/>
        </w:rPr>
      </w:pPr>
      <w:r>
        <w:rPr>
          <w:rFonts w:ascii="Calibri" w:eastAsia="Calibri" w:hAnsi="Calibri" w:cs="Calibri"/>
          <w:sz w:val="24"/>
          <w:szCs w:val="24"/>
        </w:rPr>
        <w:t>•Lobbying</w:t>
      </w:r>
      <w:r>
        <w:rPr>
          <w:rFonts w:ascii="Calibri" w:eastAsia="Calibri" w:hAnsi="Calibri" w:cs="Calibri"/>
          <w:sz w:val="24"/>
          <w:szCs w:val="24"/>
        </w:rPr>
        <w:br/>
      </w:r>
      <w:r>
        <w:rPr>
          <w:rFonts w:ascii="Calibri" w:eastAsia="Calibri" w:hAnsi="Calibri" w:cs="Calibri"/>
          <w:sz w:val="24"/>
          <w:szCs w:val="24"/>
        </w:rPr>
        <w:t>-Tax credits in more states</w:t>
      </w:r>
      <w:r>
        <w:rPr>
          <w:rFonts w:ascii="Calibri" w:eastAsia="Calibri" w:hAnsi="Calibri" w:cs="Calibri"/>
          <w:sz w:val="24"/>
          <w:szCs w:val="24"/>
        </w:rPr>
        <w:br/>
        <w:t>-Emission standards</w:t>
      </w:r>
      <w:r>
        <w:rPr>
          <w:rFonts w:ascii="Calibri" w:eastAsia="Calibri" w:hAnsi="Calibri" w:cs="Calibri"/>
          <w:sz w:val="24"/>
          <w:szCs w:val="24"/>
        </w:rPr>
        <w:br/>
        <w:t>-Fuel economy standards</w:t>
      </w:r>
      <w:r>
        <w:rPr>
          <w:rFonts w:ascii="Calibri" w:eastAsia="Calibri" w:hAnsi="Calibri" w:cs="Calibri"/>
          <w:sz w:val="24"/>
          <w:szCs w:val="24"/>
        </w:rPr>
        <w:br/>
      </w:r>
    </w:p>
    <w:p w:rsidR="00B2755C" w:rsidRPr="00A65D9C" w:rsidRDefault="00A65D9C" w:rsidP="00A65D9C">
      <w:pPr>
        <w:tabs>
          <w:tab w:val="left" w:pos="-180"/>
        </w:tabs>
        <w:spacing w:line="240" w:lineRule="auto"/>
        <w:ind w:left="450" w:hanging="450"/>
        <w:rPr>
          <w:rFonts w:ascii="Calibri" w:eastAsia="Calibri" w:hAnsi="Calibri" w:cs="Calibri"/>
          <w:b/>
          <w:sz w:val="24"/>
          <w:szCs w:val="24"/>
          <w:u w:val="single"/>
        </w:rPr>
      </w:pPr>
      <w:r w:rsidRPr="00A65D9C">
        <w:rPr>
          <w:rFonts w:ascii="Calibri" w:eastAsia="Calibri" w:hAnsi="Calibri" w:cs="Calibri"/>
          <w:b/>
          <w:sz w:val="24"/>
          <w:szCs w:val="24"/>
          <w:u w:val="single"/>
        </w:rPr>
        <w:t>Long term strategy</w:t>
      </w:r>
      <w:r w:rsidRPr="00A65D9C">
        <w:rPr>
          <w:rFonts w:ascii="Calibri" w:eastAsia="Calibri" w:hAnsi="Calibri" w:cs="Calibri"/>
          <w:b/>
          <w:sz w:val="24"/>
          <w:szCs w:val="24"/>
          <w:u w:val="single"/>
        </w:rPr>
        <w:br/>
      </w:r>
    </w:p>
    <w:p w:rsidR="00CA598F" w:rsidRDefault="00A65D9C">
      <w:pPr>
        <w:tabs>
          <w:tab w:val="left" w:pos="-180"/>
        </w:tabs>
        <w:spacing w:line="240" w:lineRule="auto"/>
      </w:pPr>
      <w:r>
        <w:rPr>
          <w:rFonts w:ascii="Calibri" w:eastAsia="Calibri" w:hAnsi="Calibri" w:cs="Calibri"/>
          <w:sz w:val="24"/>
          <w:szCs w:val="24"/>
        </w:rPr>
        <w:t>•Investing in R&amp;D</w:t>
      </w:r>
    </w:p>
    <w:p w:rsidR="00CA598F" w:rsidRDefault="00A65D9C">
      <w:pPr>
        <w:tabs>
          <w:tab w:val="left" w:pos="-180"/>
        </w:tabs>
        <w:spacing w:line="240" w:lineRule="auto"/>
      </w:pPr>
      <w:r>
        <w:rPr>
          <w:rFonts w:ascii="Calibri" w:eastAsia="Calibri" w:hAnsi="Calibri" w:cs="Calibri"/>
          <w:sz w:val="24"/>
          <w:szCs w:val="24"/>
        </w:rPr>
        <w:t>•Enhancing positioning</w:t>
      </w:r>
    </w:p>
    <w:p w:rsidR="00CA598F" w:rsidRDefault="00A65D9C" w:rsidP="00A65D9C">
      <w:pPr>
        <w:tabs>
          <w:tab w:val="left" w:pos="-180"/>
        </w:tabs>
        <w:spacing w:line="240" w:lineRule="auto"/>
        <w:ind w:firstLine="450"/>
      </w:pPr>
      <w:r>
        <w:rPr>
          <w:rFonts w:ascii="Calibri" w:eastAsia="Calibri" w:hAnsi="Calibri" w:cs="Calibri"/>
          <w:sz w:val="24"/>
          <w:szCs w:val="24"/>
        </w:rPr>
        <w:t>-More Optimal positioning by increasing MPG through R&amp;D</w:t>
      </w:r>
    </w:p>
    <w:p w:rsidR="00B2755C" w:rsidRDefault="00B2755C">
      <w:pPr>
        <w:tabs>
          <w:tab w:val="left" w:pos="-180"/>
        </w:tabs>
        <w:spacing w:line="240" w:lineRule="auto"/>
        <w:rPr>
          <w:rFonts w:ascii="Calibri" w:eastAsia="Calibri" w:hAnsi="Calibri" w:cs="Calibri"/>
          <w:sz w:val="24"/>
          <w:szCs w:val="24"/>
        </w:rPr>
      </w:pPr>
    </w:p>
    <w:p w:rsidR="00CA598F" w:rsidRDefault="00A65D9C">
      <w:pPr>
        <w:tabs>
          <w:tab w:val="left" w:pos="-180"/>
        </w:tabs>
        <w:spacing w:line="240" w:lineRule="auto"/>
      </w:pPr>
      <w:r>
        <w:rPr>
          <w:rFonts w:ascii="Calibri" w:eastAsia="Calibri" w:hAnsi="Calibri" w:cs="Calibri"/>
          <w:sz w:val="24"/>
          <w:szCs w:val="24"/>
        </w:rPr>
        <w:t>•Enhancing capacity</w:t>
      </w:r>
    </w:p>
    <w:p w:rsidR="00A65D9C" w:rsidRDefault="00A65D9C" w:rsidP="00A65D9C">
      <w:pPr>
        <w:tabs>
          <w:tab w:val="left" w:pos="-180"/>
        </w:tabs>
        <w:spacing w:line="240" w:lineRule="auto"/>
        <w:ind w:left="540" w:hanging="90"/>
        <w:rPr>
          <w:rFonts w:ascii="Calibri" w:eastAsia="Calibri" w:hAnsi="Calibri" w:cs="Calibri"/>
          <w:sz w:val="24"/>
          <w:szCs w:val="24"/>
        </w:rPr>
      </w:pPr>
      <w:r>
        <w:rPr>
          <w:rFonts w:ascii="Calibri" w:eastAsia="Calibri" w:hAnsi="Calibri" w:cs="Calibri"/>
          <w:sz w:val="24"/>
          <w:szCs w:val="24"/>
        </w:rPr>
        <w:t>-Purchasing more production facilities</w:t>
      </w:r>
    </w:p>
    <w:p w:rsidR="00B2755C" w:rsidRDefault="00A65D9C" w:rsidP="00A65D9C">
      <w:pPr>
        <w:tabs>
          <w:tab w:val="left" w:pos="-180"/>
        </w:tabs>
        <w:spacing w:line="240" w:lineRule="auto"/>
        <w:ind w:left="540" w:hanging="90"/>
      </w:pPr>
      <w:r>
        <w:rPr>
          <w:rFonts w:ascii="Calibri" w:eastAsia="Calibri" w:hAnsi="Calibri" w:cs="Calibri"/>
          <w:sz w:val="24"/>
          <w:szCs w:val="24"/>
        </w:rPr>
        <w:t>-Increasing production efficiency</w:t>
      </w:r>
    </w:p>
    <w:p w:rsidR="00A65D9C" w:rsidRPr="00A65D9C" w:rsidRDefault="00A65D9C" w:rsidP="00A65D9C">
      <w:pPr>
        <w:tabs>
          <w:tab w:val="left" w:pos="-180"/>
        </w:tabs>
        <w:spacing w:line="240" w:lineRule="auto"/>
        <w:ind w:left="540"/>
      </w:pPr>
    </w:p>
    <w:p w:rsidR="00CA598F" w:rsidRDefault="00A65D9C" w:rsidP="00A65D9C">
      <w:pPr>
        <w:tabs>
          <w:tab w:val="left" w:pos="-180"/>
        </w:tabs>
        <w:spacing w:line="240" w:lineRule="auto"/>
        <w:ind w:left="450" w:hanging="450"/>
      </w:pPr>
      <w:r>
        <w:rPr>
          <w:rFonts w:ascii="Calibri" w:eastAsia="Calibri" w:hAnsi="Calibri" w:cs="Calibri"/>
          <w:sz w:val="24"/>
          <w:szCs w:val="24"/>
        </w:rPr>
        <w:t>•Lobbying</w:t>
      </w:r>
      <w:r>
        <w:rPr>
          <w:rFonts w:ascii="Calibri" w:eastAsia="Calibri" w:hAnsi="Calibri" w:cs="Calibri"/>
          <w:sz w:val="24"/>
          <w:szCs w:val="24"/>
        </w:rPr>
        <w:br/>
      </w:r>
      <w:bookmarkStart w:id="0" w:name="_GoBack"/>
      <w:r>
        <w:rPr>
          <w:rFonts w:ascii="Calibri" w:eastAsia="Calibri" w:hAnsi="Calibri" w:cs="Calibri"/>
          <w:sz w:val="24"/>
          <w:szCs w:val="24"/>
        </w:rPr>
        <w:t>-Tax credits</w:t>
      </w:r>
      <w:r>
        <w:rPr>
          <w:rFonts w:ascii="Calibri" w:eastAsia="Calibri" w:hAnsi="Calibri" w:cs="Calibri"/>
          <w:sz w:val="24"/>
          <w:szCs w:val="24"/>
        </w:rPr>
        <w:t xml:space="preserve"> in more states</w:t>
      </w:r>
      <w:r>
        <w:rPr>
          <w:rFonts w:ascii="Calibri" w:eastAsia="Calibri" w:hAnsi="Calibri" w:cs="Calibri"/>
          <w:sz w:val="24"/>
          <w:szCs w:val="24"/>
        </w:rPr>
        <w:br/>
        <w:t>-Emission standards</w:t>
      </w:r>
      <w:r>
        <w:rPr>
          <w:rFonts w:ascii="Calibri" w:eastAsia="Calibri" w:hAnsi="Calibri" w:cs="Calibri"/>
          <w:sz w:val="24"/>
          <w:szCs w:val="24"/>
        </w:rPr>
        <w:br/>
        <w:t>-Fuel economy standards</w:t>
      </w:r>
      <w:bookmarkEnd w:id="0"/>
      <w:r>
        <w:rPr>
          <w:rFonts w:ascii="Calibri" w:eastAsia="Calibri" w:hAnsi="Calibri" w:cs="Calibri"/>
          <w:sz w:val="24"/>
          <w:szCs w:val="24"/>
        </w:rPr>
        <w:br/>
      </w:r>
    </w:p>
    <w:p w:rsidR="00CA598F" w:rsidRDefault="00CA598F">
      <w:pPr>
        <w:tabs>
          <w:tab w:val="left" w:pos="-180"/>
        </w:tabs>
        <w:spacing w:line="240" w:lineRule="auto"/>
      </w:pPr>
    </w:p>
    <w:p w:rsidR="00CA598F" w:rsidRDefault="00CA598F">
      <w:pPr>
        <w:tabs>
          <w:tab w:val="left" w:pos="-180"/>
        </w:tabs>
        <w:spacing w:line="240" w:lineRule="auto"/>
      </w:pPr>
    </w:p>
    <w:p w:rsidR="00CA598F" w:rsidRDefault="00CA598F">
      <w:pPr>
        <w:tabs>
          <w:tab w:val="left" w:pos="-180"/>
        </w:tabs>
        <w:spacing w:line="240" w:lineRule="auto"/>
      </w:pPr>
    </w:p>
    <w:p w:rsidR="00CA598F" w:rsidRDefault="00CA598F">
      <w:pPr>
        <w:tabs>
          <w:tab w:val="left" w:pos="-180"/>
        </w:tabs>
        <w:spacing w:line="240" w:lineRule="auto"/>
      </w:pPr>
    </w:p>
    <w:p w:rsidR="00CA598F" w:rsidRDefault="00CA598F">
      <w:pPr>
        <w:tabs>
          <w:tab w:val="left" w:pos="-180"/>
        </w:tabs>
        <w:spacing w:line="240" w:lineRule="auto"/>
      </w:pPr>
    </w:p>
    <w:p w:rsidR="00CA598F" w:rsidRDefault="00CA598F">
      <w:pPr>
        <w:tabs>
          <w:tab w:val="left" w:pos="-180"/>
        </w:tabs>
        <w:spacing w:line="240" w:lineRule="auto"/>
      </w:pPr>
    </w:p>
    <w:p w:rsidR="00CA598F" w:rsidRDefault="00CA598F">
      <w:pPr>
        <w:tabs>
          <w:tab w:val="left" w:pos="-180"/>
        </w:tabs>
        <w:spacing w:line="240" w:lineRule="auto"/>
      </w:pPr>
    </w:p>
    <w:sectPr w:rsidR="00CA59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1BE9"/>
    <w:multiLevelType w:val="multilevel"/>
    <w:tmpl w:val="F2682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D914DE9"/>
    <w:multiLevelType w:val="multilevel"/>
    <w:tmpl w:val="32125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CD544C3"/>
    <w:multiLevelType w:val="multilevel"/>
    <w:tmpl w:val="7A28D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FC02BDB"/>
    <w:multiLevelType w:val="multilevel"/>
    <w:tmpl w:val="31D29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09B1311"/>
    <w:multiLevelType w:val="hybridMultilevel"/>
    <w:tmpl w:val="7480C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253938"/>
    <w:multiLevelType w:val="hybridMultilevel"/>
    <w:tmpl w:val="BD06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8F"/>
    <w:rsid w:val="00A65D9C"/>
    <w:rsid w:val="00B2755C"/>
    <w:rsid w:val="00C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A43E"/>
  <w15:docId w15:val="{7654A8E9-D794-4400-BE0E-32DD5EAC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2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Upper_middle_class_in_the_United_St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come_in_the_United_States" TargetMode="External"/><Relationship Id="rId11" Type="http://schemas.openxmlformats.org/officeDocument/2006/relationships/fontTable" Target="fontTable.xml"/><Relationship Id="rId5" Type="http://schemas.openxmlformats.org/officeDocument/2006/relationships/hyperlink" Target="http://www.infoplease.com/ipa/A0005055.html"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multpl.com/united-states-population/tabl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ownloads\Bass%20Ford%20Sol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Forecasting Scenarios</a:t>
            </a:r>
          </a:p>
        </c:rich>
      </c:tx>
      <c:overlay val="0"/>
    </c:title>
    <c:autoTitleDeleted val="0"/>
    <c:plotArea>
      <c:layout/>
      <c:scatterChart>
        <c:scatterStyle val="lineMarker"/>
        <c:varyColors val="0"/>
        <c:ser>
          <c:idx val="0"/>
          <c:order val="0"/>
          <c:tx>
            <c:strRef>
              <c:f>'[Bass Ford Solutions.xlsx]Bass Forecasting'!$C$4</c:f>
              <c:strCache>
                <c:ptCount val="1"/>
                <c:pt idx="0">
                  <c:v>ABS (Antilock Bracking) (Proportion of cars sold)</c:v>
                </c:pt>
              </c:strCache>
            </c:strRef>
          </c:tx>
          <c:spPr>
            <a:ln w="38100">
              <a:solidFill>
                <a:srgbClr val="5B9BD5"/>
              </a:solidFill>
              <a:prstDash val="solid"/>
            </a:ln>
            <a:effectLst/>
          </c:spPr>
          <c:marker>
            <c:symbol val="none"/>
          </c:marker>
          <c:xVal>
            <c:numRef>
              <c:f>'[Bass Ford Solutions.xlsx]Bass Forecasting'!$B$8:$B$19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'[Bass Ford Solutions.xlsx]Bass Forecasting'!$C$8:$C$19</c:f>
              <c:numCache>
                <c:formatCode>0.00</c:formatCode>
                <c:ptCount val="12"/>
                <c:pt idx="0">
                  <c:v>2.3323E-2</c:v>
                </c:pt>
                <c:pt idx="1">
                  <c:v>4.2633521634446156E-2</c:v>
                </c:pt>
                <c:pt idx="2">
                  <c:v>7.6053027227452441E-2</c:v>
                </c:pt>
                <c:pt idx="3">
                  <c:v>0.11983175526376406</c:v>
                </c:pt>
                <c:pt idx="4">
                  <c:v>0.17676428191161853</c:v>
                </c:pt>
                <c:pt idx="5">
                  <c:v>0.24152286379901322</c:v>
                </c:pt>
                <c:pt idx="6">
                  <c:v>0.32325263378948016</c:v>
                </c:pt>
                <c:pt idx="7">
                  <c:v>0.42576051477077431</c:v>
                </c:pt>
                <c:pt idx="8">
                  <c:v>0.5534364048950805</c:v>
                </c:pt>
                <c:pt idx="9">
                  <c:v>0.76126779285717749</c:v>
                </c:pt>
                <c:pt idx="10">
                  <c:v>1.0265018928834337</c:v>
                </c:pt>
                <c:pt idx="11">
                  <c:v>1.3597427922182432</c:v>
                </c:pt>
              </c:numCache>
            </c:numRef>
          </c:yVal>
          <c:smooth val="1"/>
          <c:extLst>
            <c:ext xmlns:c16="http://schemas.microsoft.com/office/drawing/2014/chart" uri="{C3380CC4-5D6E-409C-BE32-E72D297353CC}">
              <c16:uniqueId val="{00000000-FB14-4F75-A406-35DF5919877B}"/>
            </c:ext>
          </c:extLst>
        </c:ser>
        <c:ser>
          <c:idx val="1"/>
          <c:order val="1"/>
          <c:tx>
            <c:strRef>
              <c:f>'[Bass Ford Solutions.xlsx]Bass Forecasting'!$D$4</c:f>
              <c:strCache>
                <c:ptCount val="1"/>
                <c:pt idx="0">
                  <c:v>Diesel cars in Europe (Proportion of new cars)</c:v>
                </c:pt>
              </c:strCache>
            </c:strRef>
          </c:tx>
          <c:spPr>
            <a:ln w="38100">
              <a:solidFill>
                <a:srgbClr val="ED7D31"/>
              </a:solidFill>
              <a:prstDash val="solid"/>
            </a:ln>
            <a:effectLst/>
          </c:spPr>
          <c:marker>
            <c:symbol val="none"/>
          </c:marker>
          <c:xVal>
            <c:numRef>
              <c:f>'[Bass Ford Solutions.xlsx]Bass Forecasting'!$B$8:$B$19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'[Bass Ford Solutions.xlsx]Bass Forecasting'!$D$8:$D$19</c:f>
              <c:numCache>
                <c:formatCode>0.00</c:formatCode>
                <c:ptCount val="12"/>
                <c:pt idx="0">
                  <c:v>2.3323E-2</c:v>
                </c:pt>
                <c:pt idx="1">
                  <c:v>5.5428532103426922E-2</c:v>
                </c:pt>
                <c:pt idx="2">
                  <c:v>0.10676387144642041</c:v>
                </c:pt>
                <c:pt idx="3">
                  <c:v>0.16733252060731668</c:v>
                </c:pt>
                <c:pt idx="4">
                  <c:v>0.23844277612425224</c:v>
                </c:pt>
                <c:pt idx="5">
                  <c:v>0.31162202215140633</c:v>
                </c:pt>
                <c:pt idx="6">
                  <c:v>0.39625781495686019</c:v>
                </c:pt>
                <c:pt idx="7">
                  <c:v>0.49367619969354376</c:v>
                </c:pt>
                <c:pt idx="8">
                  <c:v>0.60526523087323147</c:v>
                </c:pt>
                <c:pt idx="9">
                  <c:v>0.77363161664583802</c:v>
                </c:pt>
                <c:pt idx="10">
                  <c:v>0.96940086033841744</c:v>
                </c:pt>
                <c:pt idx="11">
                  <c:v>1.195517882368291</c:v>
                </c:pt>
              </c:numCache>
            </c:numRef>
          </c:yVal>
          <c:smooth val="1"/>
          <c:extLst>
            <c:ext xmlns:c16="http://schemas.microsoft.com/office/drawing/2014/chart" uri="{C3380CC4-5D6E-409C-BE32-E72D297353CC}">
              <c16:uniqueId val="{00000001-FB14-4F75-A406-35DF5919877B}"/>
            </c:ext>
          </c:extLst>
        </c:ser>
        <c:ser>
          <c:idx val="2"/>
          <c:order val="2"/>
          <c:tx>
            <c:strRef>
              <c:f>'[Bass Ford Solutions.xlsx]Bass Forecasting'!$E$4</c:f>
              <c:strCache>
                <c:ptCount val="1"/>
                <c:pt idx="0">
                  <c:v>Electronic Fuel Injection (Proportion of car models)</c:v>
                </c:pt>
              </c:strCache>
            </c:strRef>
          </c:tx>
          <c:spPr>
            <a:ln w="38100">
              <a:solidFill>
                <a:srgbClr val="A5A5A5"/>
              </a:solidFill>
              <a:prstDash val="solid"/>
            </a:ln>
            <a:effectLst/>
          </c:spPr>
          <c:marker>
            <c:symbol val="none"/>
          </c:marker>
          <c:xVal>
            <c:numRef>
              <c:f>'[Bass Ford Solutions.xlsx]Bass Forecasting'!$B$8:$B$19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'[Bass Ford Solutions.xlsx]Bass Forecasting'!$E$8:$E$19</c:f>
              <c:numCache>
                <c:formatCode>0.00</c:formatCode>
                <c:ptCount val="12"/>
                <c:pt idx="0">
                  <c:v>2.3323E-2</c:v>
                </c:pt>
                <c:pt idx="1">
                  <c:v>5.0651296093870202E-2</c:v>
                </c:pt>
                <c:pt idx="2">
                  <c:v>0.11186402468453838</c:v>
                </c:pt>
                <c:pt idx="3">
                  <c:v>0.22196511907067801</c:v>
                </c:pt>
                <c:pt idx="4">
                  <c:v>0.41560608599662607</c:v>
                </c:pt>
                <c:pt idx="5">
                  <c:v>0.70647081528649958</c:v>
                </c:pt>
                <c:pt idx="6">
                  <c:v>1.1639069595159306</c:v>
                </c:pt>
                <c:pt idx="7">
                  <c:v>1.8427120585744801</c:v>
                </c:pt>
                <c:pt idx="8">
                  <c:v>2.7629429278675701</c:v>
                </c:pt>
                <c:pt idx="9">
                  <c:v>4.2204673064623153</c:v>
                </c:pt>
                <c:pt idx="10">
                  <c:v>5.6300146941703364</c:v>
                </c:pt>
                <c:pt idx="11">
                  <c:v>6.6247225545036539</c:v>
                </c:pt>
              </c:numCache>
            </c:numRef>
          </c:yVal>
          <c:smooth val="1"/>
          <c:extLst>
            <c:ext xmlns:c16="http://schemas.microsoft.com/office/drawing/2014/chart" uri="{C3380CC4-5D6E-409C-BE32-E72D297353CC}">
              <c16:uniqueId val="{00000002-FB14-4F75-A406-35DF5919877B}"/>
            </c:ext>
          </c:extLst>
        </c:ser>
        <c:ser>
          <c:idx val="3"/>
          <c:order val="3"/>
          <c:tx>
            <c:strRef>
              <c:f>'[Bass Ford Solutions.xlsx]Bass Forecasting'!$F$4</c:f>
              <c:strCache>
                <c:ptCount val="1"/>
                <c:pt idx="0">
                  <c:v>Average</c:v>
                </c:pt>
              </c:strCache>
            </c:strRef>
          </c:tx>
          <c:spPr>
            <a:ln w="38100">
              <a:solidFill>
                <a:srgbClr val="FFC000"/>
              </a:solidFill>
              <a:prstDash val="solid"/>
            </a:ln>
            <a:effectLst/>
          </c:spPr>
          <c:marker>
            <c:symbol val="none"/>
          </c:marker>
          <c:xVal>
            <c:numRef>
              <c:f>'[Bass Ford Solutions.xlsx]Bass Forecasting'!$B$8:$B$19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'[Bass Ford Solutions.xlsx]Bass Forecasting'!$F$8:$F$19</c:f>
              <c:numCache>
                <c:formatCode>0.00</c:formatCode>
                <c:ptCount val="12"/>
                <c:pt idx="0">
                  <c:v>2.3323E-2</c:v>
                </c:pt>
                <c:pt idx="1">
                  <c:v>4.9571116610581098E-2</c:v>
                </c:pt>
                <c:pt idx="2">
                  <c:v>9.8313616289772504E-2</c:v>
                </c:pt>
                <c:pt idx="3">
                  <c:v>0.16797361856672827</c:v>
                </c:pt>
                <c:pt idx="4">
                  <c:v>0.26630306976820545</c:v>
                </c:pt>
                <c:pt idx="5">
                  <c:v>0.38697527422868561</c:v>
                </c:pt>
                <c:pt idx="6">
                  <c:v>0.54904550603196012</c:v>
                </c:pt>
                <c:pt idx="7">
                  <c:v>0.76370336602448829</c:v>
                </c:pt>
                <c:pt idx="8">
                  <c:v>1.0431134251825638</c:v>
                </c:pt>
                <c:pt idx="9">
                  <c:v>1.51248790487859</c:v>
                </c:pt>
                <c:pt idx="10">
                  <c:v>2.1208474832953073</c:v>
                </c:pt>
                <c:pt idx="11">
                  <c:v>2.8721941243219811</c:v>
                </c:pt>
              </c:numCache>
            </c:numRef>
          </c:yVal>
          <c:smooth val="1"/>
          <c:extLst>
            <c:ext xmlns:c16="http://schemas.microsoft.com/office/drawing/2014/chart" uri="{C3380CC4-5D6E-409C-BE32-E72D297353CC}">
              <c16:uniqueId val="{00000003-FB14-4F75-A406-35DF5919877B}"/>
            </c:ext>
          </c:extLst>
        </c:ser>
        <c:ser>
          <c:idx val="4"/>
          <c:order val="4"/>
          <c:tx>
            <c:v>Market Potential</c:v>
          </c:tx>
          <c:spPr>
            <a:ln w="12700">
              <a:solidFill>
                <a:srgbClr val="FF99CC"/>
              </a:solidFill>
              <a:prstDash val="solid"/>
            </a:ln>
            <a:effectLst/>
          </c:spPr>
          <c:marker>
            <c:symbol val="none"/>
          </c:marker>
          <c:xVal>
            <c:numRef>
              <c:f>'[Bass Ford Solutions.xlsx]Bass Forecasting'!$B$8:$B$19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'[Bass Ford Solutions.xlsx]Bass Forecasting'!$G$8:$G$19</c:f>
              <c:numCache>
                <c:formatCode>0.00</c:formatCode>
                <c:ptCount val="12"/>
                <c:pt idx="0">
                  <c:v>4.5599999999999996</c:v>
                </c:pt>
                <c:pt idx="1">
                  <c:v>4.6037759999999999</c:v>
                </c:pt>
                <c:pt idx="2">
                  <c:v>4.76417155584</c:v>
                </c:pt>
                <c:pt idx="3">
                  <c:v>4.9301552928454697</c:v>
                </c:pt>
                <c:pt idx="4">
                  <c:v>5.1019219032481997</c:v>
                </c:pt>
                <c:pt idx="5">
                  <c:v>5.2796728623573701</c:v>
                </c:pt>
                <c:pt idx="6">
                  <c:v>5.4636166648818998</c:v>
                </c:pt>
                <c:pt idx="7">
                  <c:v>5.6539690694863802</c:v>
                </c:pt>
                <c:pt idx="8">
                  <c:v>5.8509533518672896</c:v>
                </c:pt>
                <c:pt idx="9">
                  <c:v>6.2024786292474801</c:v>
                </c:pt>
                <c:pt idx="10">
                  <c:v>6.5751235452926702</c:v>
                </c:pt>
                <c:pt idx="11">
                  <c:v>6.9701569678938498</c:v>
                </c:pt>
              </c:numCache>
            </c:numRef>
          </c:yVal>
          <c:smooth val="1"/>
          <c:extLst>
            <c:ext xmlns:c16="http://schemas.microsoft.com/office/drawing/2014/chart" uri="{C3380CC4-5D6E-409C-BE32-E72D297353CC}">
              <c16:uniqueId val="{00000004-FB14-4F75-A406-35DF5919877B}"/>
            </c:ext>
          </c:extLst>
        </c:ser>
        <c:dLbls>
          <c:showLegendKey val="0"/>
          <c:showVal val="0"/>
          <c:showCatName val="0"/>
          <c:showSerName val="0"/>
          <c:showPercent val="0"/>
          <c:showBubbleSize val="0"/>
        </c:dLbls>
        <c:axId val="157318512"/>
        <c:axId val="604435952"/>
      </c:scatterChart>
      <c:valAx>
        <c:axId val="157318512"/>
        <c:scaling>
          <c:orientation val="minMax"/>
        </c:scaling>
        <c:delete val="0"/>
        <c:axPos val="b"/>
        <c:title>
          <c:tx>
            <c:rich>
              <a:bodyPr/>
              <a:lstStyle/>
              <a:p>
                <a:pPr>
                  <a:defRPr/>
                </a:pPr>
                <a:r>
                  <a:rPr lang="en-US"/>
                  <a:t>Periods</a:t>
                </a:r>
              </a:p>
            </c:rich>
          </c:tx>
          <c:overlay val="0"/>
        </c:title>
        <c:numFmt formatCode="General" sourceLinked="1"/>
        <c:majorTickMark val="out"/>
        <c:minorTickMark val="none"/>
        <c:tickLblPos val="nextTo"/>
        <c:crossAx val="604435952"/>
        <c:crosses val="autoZero"/>
        <c:crossBetween val="midCat"/>
      </c:valAx>
      <c:valAx>
        <c:axId val="604435952"/>
        <c:scaling>
          <c:orientation val="minMax"/>
        </c:scaling>
        <c:delete val="0"/>
        <c:axPos val="l"/>
        <c:majorGridlines/>
        <c:title>
          <c:tx>
            <c:rich>
              <a:bodyPr/>
              <a:lstStyle/>
              <a:p>
                <a:pPr>
                  <a:defRPr/>
                </a:pPr>
                <a:r>
                  <a:rPr lang="en-US"/>
                  <a:t>Cumulated Adoptions</a:t>
                </a:r>
              </a:p>
            </c:rich>
          </c:tx>
          <c:overlay val="0"/>
        </c:title>
        <c:numFmt formatCode="0.00" sourceLinked="1"/>
        <c:majorTickMark val="out"/>
        <c:minorTickMark val="none"/>
        <c:tickLblPos val="nextTo"/>
        <c:crossAx val="157318512"/>
        <c:crosses val="autoZero"/>
        <c:crossBetween val="midCat"/>
      </c:valAx>
      <c:spPr>
        <a:gradFill flip="none" rotWithShape="1">
          <a:gsLst>
            <a:gs pos="0">
              <a:srgbClr val="C0C0C0"/>
            </a:gs>
            <a:gs pos="100000">
              <a:srgbClr val="FFFFFF"/>
            </a:gs>
          </a:gsLst>
          <a:lin ang="16200000" scaled="1"/>
          <a:tileRect/>
        </a:gradFill>
        <a:ln w="12700">
          <a:solidFill>
            <a:srgbClr val="808080"/>
          </a:solidFill>
          <a:prstDash val="solid"/>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2016-11-05T03:05:00Z</dcterms:created>
  <dcterms:modified xsi:type="dcterms:W3CDTF">2016-11-05T03:05:00Z</dcterms:modified>
</cp:coreProperties>
</file>