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Export the board</w:t>
      </w:r>
    </w:p>
    <w:p>
      <w:r>
        <w:t>The export writes every visible column to a CSV file.</w:t>
      </w:r>
    </w:p>
    <w:p>
      <w:pPr>
        <w:pStyle w:val="Heading2"/>
      </w:pPr>
      <w:r>
        <w:t>Archived items</w:t>
      </w:r>
    </w:p>
    <w:p>
      <w:r>
        <w:t>Archived items stay out of the export by default.</w:t>
      </w:r>
    </w:p>
    <w:p>
      <w:r>
        <w:t>A member without the permission sees no export button.</w:t>
      </w:r>
    </w:p>
  </w:body>
</w:document>
</file>