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982C" w14:textId="47221293" w:rsidR="00873B76" w:rsidRPr="00873B76" w:rsidRDefault="0093094C" w:rsidP="00DF0363">
      <w:pPr>
        <w:pStyle w:val="Heading1"/>
        <w:numPr>
          <w:ilvl w:val="0"/>
          <w:numId w:val="0"/>
        </w:numPr>
        <w:ind w:left="432" w:hanging="432"/>
        <w:jc w:val="center"/>
      </w:pPr>
      <w:r>
        <w:t>Tutorial</w:t>
      </w:r>
      <w:r w:rsidR="00873B76" w:rsidRPr="00873B76">
        <w:t xml:space="preserve"> </w:t>
      </w:r>
      <w:r w:rsidR="00474162">
        <w:t>6</w:t>
      </w:r>
      <w:r w:rsidR="00873B76" w:rsidRPr="00873B76">
        <w:t xml:space="preserve">: </w:t>
      </w:r>
      <w:r w:rsidR="00474162" w:rsidRPr="00474162">
        <w:t>Heat Exchanger Modeling</w:t>
      </w:r>
    </w:p>
    <w:p w14:paraId="2DF0ACE6" w14:textId="7A3D6443" w:rsidR="00873B76" w:rsidRDefault="00873B76" w:rsidP="00DF0363">
      <w:pPr>
        <w:pStyle w:val="Heading1"/>
      </w:pPr>
      <w:r w:rsidRPr="00873B76">
        <w:t>Problem Description:</w:t>
      </w:r>
    </w:p>
    <w:p w14:paraId="1CA493D6" w14:textId="77777777" w:rsidR="00DF0363" w:rsidRDefault="00DF0363" w:rsidP="00DF0363">
      <w:pPr>
        <w:rPr>
          <w:lang w:val="en-IN"/>
        </w:rPr>
      </w:pPr>
      <w:r>
        <w:rPr>
          <w:lang w:val="en-IN"/>
        </w:rPr>
        <w:tab/>
        <w:t xml:space="preserve">A counter-current straight vertical shell and tube heat exchanger (without baffles) with liquid sodium on both shell and tube sides is considered. On the shell side, sodium enters at 544 °C with a mass flow rate of 1644 kg/s from top to bottom. On the tube side, sodium enters at a temperature of 355 °C with a mass flow rate of 1461 kg/s from bottom to top. The active heat transfer length is 7.5 m. The tube inner and outer diameters are 17.4 mm and 19 mm, respectively. There are 3600 tubes in the heat exchanger. The shell's inner diameter is 1.831 m. The heat transfer coefficient correlations given by equations </w:t>
      </w:r>
      <w:r>
        <w:rPr>
          <w:lang w:val="en-IN"/>
        </w:rPr>
        <w:fldChar w:fldCharType="begin"/>
      </w:r>
      <w:r>
        <w:rPr>
          <w:lang w:val="en-IN"/>
        </w:rPr>
        <w:instrText xml:space="preserve"> REF _Ref104221750 \h </w:instrText>
      </w:r>
      <w:r>
        <w:rPr>
          <w:lang w:val="en-IN"/>
        </w:rPr>
      </w:r>
      <w:r>
        <w:rPr>
          <w:lang w:val="en-IN"/>
        </w:rPr>
        <w:fldChar w:fldCharType="separate"/>
      </w:r>
      <w:r>
        <w:rPr>
          <w:lang w:val="en-IN"/>
        </w:rPr>
        <w:t>(</w:t>
      </w:r>
      <w:r>
        <w:rPr>
          <w:noProof/>
          <w:lang w:val="en-IN"/>
        </w:rPr>
        <w:t>26</w:t>
      </w:r>
      <w:r>
        <w:rPr>
          <w:lang w:val="en-IN"/>
        </w:rPr>
        <w:t>)</w:t>
      </w:r>
      <w:r>
        <w:rPr>
          <w:lang w:val="en-IN"/>
        </w:rPr>
        <w:fldChar w:fldCharType="end"/>
      </w:r>
      <w:r>
        <w:rPr>
          <w:lang w:val="en-IN"/>
        </w:rPr>
        <w:t xml:space="preserve"> and </w:t>
      </w:r>
      <w:r>
        <w:rPr>
          <w:lang w:val="en-IN"/>
        </w:rPr>
        <w:fldChar w:fldCharType="begin"/>
      </w:r>
      <w:r>
        <w:rPr>
          <w:lang w:val="en-IN"/>
        </w:rPr>
        <w:instrText xml:space="preserve"> REF _Ref104221752 \h </w:instrText>
      </w:r>
      <w:r>
        <w:rPr>
          <w:lang w:val="en-IN"/>
        </w:rPr>
      </w:r>
      <w:r>
        <w:rPr>
          <w:lang w:val="en-IN"/>
        </w:rPr>
        <w:fldChar w:fldCharType="separate"/>
      </w:r>
      <w:r>
        <w:rPr>
          <w:lang w:val="en-IN"/>
        </w:rPr>
        <w:t>(</w:t>
      </w:r>
      <w:r>
        <w:rPr>
          <w:noProof/>
          <w:lang w:val="en-IN"/>
        </w:rPr>
        <w:t>27</w:t>
      </w:r>
      <w:r>
        <w:rPr>
          <w:lang w:val="en-IN"/>
        </w:rPr>
        <w:t>)</w:t>
      </w:r>
      <w:r>
        <w:rPr>
          <w:lang w:val="en-IN"/>
        </w:rPr>
        <w:fldChar w:fldCharType="end"/>
      </w:r>
      <w:r>
        <w:rPr>
          <w:lang w:val="en-IN"/>
        </w:rPr>
        <w:t xml:space="preserve"> shall be used to estimate the heat transfer on the tube side and shell side, respectively. The total heat transfer rate in the heat exchanger must be estimated. The material properties for sodium and tube material shall be used as given in </w:t>
      </w:r>
      <w:r>
        <w:rPr>
          <w:lang w:val="en-IN"/>
        </w:rPr>
        <w:fldChar w:fldCharType="begin"/>
      </w:r>
      <w:r>
        <w:rPr>
          <w:lang w:val="en-IN"/>
        </w:rPr>
        <w:instrText xml:space="preserve"> REF _Ref104222776 \h </w:instrText>
      </w:r>
      <w:r>
        <w:rPr>
          <w:lang w:val="en-IN"/>
        </w:rPr>
      </w:r>
      <w:r>
        <w:rPr>
          <w:lang w:val="en-IN"/>
        </w:rPr>
        <w:fldChar w:fldCharType="separate"/>
      </w:r>
      <w:r>
        <w:t xml:space="preserve">Table </w:t>
      </w:r>
      <w:r>
        <w:rPr>
          <w:noProof/>
        </w:rPr>
        <w:t>12</w:t>
      </w:r>
      <w:r>
        <w:rPr>
          <w:lang w:val="en-IN"/>
        </w:rPr>
        <w:fldChar w:fldCharType="end"/>
      </w:r>
      <w:r>
        <w:rPr>
          <w:lang w:val="en-IN"/>
        </w:rPr>
        <w:t>. (As sodium properties are not available in the CoolProp database, a user-defined fluid is created and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7757"/>
        <w:gridCol w:w="643"/>
      </w:tblGrid>
      <w:tr w:rsidR="00DF0363" w14:paraId="7001B6BD" w14:textId="77777777" w:rsidTr="00FF0E9A">
        <w:tc>
          <w:tcPr>
            <w:tcW w:w="350" w:type="pct"/>
          </w:tcPr>
          <w:p w14:paraId="70C84325" w14:textId="77777777" w:rsidR="00DF0363" w:rsidRDefault="00DF0363" w:rsidP="00FF0E9A">
            <w:pPr>
              <w:rPr>
                <w:lang w:val="en-IN"/>
              </w:rPr>
            </w:pPr>
          </w:p>
        </w:tc>
        <w:tc>
          <w:tcPr>
            <w:tcW w:w="4300" w:type="pct"/>
          </w:tcPr>
          <w:p w14:paraId="4DC4CA71" w14:textId="77777777" w:rsidR="00DF0363" w:rsidRDefault="00DF0363" w:rsidP="00FF0E9A">
            <w:pPr>
              <w:rPr>
                <w:lang w:val="en-IN"/>
              </w:rPr>
            </w:pPr>
            <m:oMathPara>
              <m:oMath>
                <m:r>
                  <w:rPr>
                    <w:rFonts w:ascii="Cambria Math" w:hAnsi="Cambria Math"/>
                  </w:rPr>
                  <m:t>Nu=4.82+0.0185P</m:t>
                </m:r>
                <m:sSup>
                  <m:sSupPr>
                    <m:ctrlPr>
                      <w:rPr>
                        <w:rFonts w:ascii="Cambria Math" w:hAnsi="Cambria Math"/>
                        <w:i/>
                      </w:rPr>
                    </m:ctrlPr>
                  </m:sSupPr>
                  <m:e>
                    <m:r>
                      <w:rPr>
                        <w:rFonts w:ascii="Cambria Math" w:hAnsi="Cambria Math"/>
                      </w:rPr>
                      <m:t>e</m:t>
                    </m:r>
                  </m:e>
                  <m:sup>
                    <m:r>
                      <w:rPr>
                        <w:rFonts w:ascii="Cambria Math" w:hAnsi="Cambria Math"/>
                      </w:rPr>
                      <m:t>0.827</m:t>
                    </m:r>
                  </m:sup>
                </m:sSup>
              </m:oMath>
            </m:oMathPara>
          </w:p>
        </w:tc>
        <w:tc>
          <w:tcPr>
            <w:tcW w:w="350" w:type="pct"/>
          </w:tcPr>
          <w:p w14:paraId="11972F63" w14:textId="77777777" w:rsidR="00DF0363" w:rsidRDefault="00DF0363" w:rsidP="00FF0E9A">
            <w:pPr>
              <w:jc w:val="right"/>
              <w:rPr>
                <w:lang w:val="en-IN"/>
              </w:rPr>
            </w:pPr>
            <w:bookmarkStart w:id="0" w:name="_Ref104221750"/>
            <w:r>
              <w:rPr>
                <w:lang w:val="en-IN"/>
              </w:rPr>
              <w:t>(</w:t>
            </w:r>
            <w:r>
              <w:fldChar w:fldCharType="begin"/>
            </w:r>
            <w:r>
              <w:rPr>
                <w:lang w:val="en-IN"/>
              </w:rPr>
              <w:instrText xml:space="preserve"> SEQ Equation \* ARABIC </w:instrText>
            </w:r>
            <w:r>
              <w:fldChar w:fldCharType="separate"/>
            </w:r>
            <w:r>
              <w:rPr>
                <w:noProof/>
                <w:lang w:val="en-IN"/>
              </w:rPr>
              <w:t>26</w:t>
            </w:r>
            <w:r>
              <w:fldChar w:fldCharType="end"/>
            </w:r>
            <w:r>
              <w:rPr>
                <w:lang w:val="en-IN"/>
              </w:rPr>
              <w:t>)</w:t>
            </w:r>
            <w:bookmarkEnd w:id="0"/>
          </w:p>
        </w:tc>
      </w:tr>
      <w:tr w:rsidR="00DF0363" w14:paraId="1B04325D" w14:textId="77777777" w:rsidTr="00FF0E9A">
        <w:tc>
          <w:tcPr>
            <w:tcW w:w="350" w:type="pct"/>
          </w:tcPr>
          <w:p w14:paraId="0CCC5F55" w14:textId="77777777" w:rsidR="00DF0363" w:rsidRDefault="00DF0363" w:rsidP="00FF0E9A">
            <w:pPr>
              <w:rPr>
                <w:lang w:val="en-IN"/>
              </w:rPr>
            </w:pPr>
          </w:p>
        </w:tc>
        <w:tc>
          <w:tcPr>
            <w:tcW w:w="4300" w:type="pct"/>
          </w:tcPr>
          <w:p w14:paraId="1771FE4C" w14:textId="77777777" w:rsidR="00DF0363" w:rsidRDefault="00DF0363" w:rsidP="00FF0E9A">
            <w:pPr>
              <w:rPr>
                <w:lang w:val="en-IN"/>
              </w:rPr>
            </w:pPr>
            <m:oMathPara>
              <m:oMath>
                <m:r>
                  <w:rPr>
                    <w:rFonts w:ascii="Cambria Math" w:hAnsi="Cambria Math"/>
                  </w:rPr>
                  <m:t>Nu=6+0.006Pe</m:t>
                </m:r>
              </m:oMath>
            </m:oMathPara>
          </w:p>
        </w:tc>
        <w:tc>
          <w:tcPr>
            <w:tcW w:w="350" w:type="pct"/>
          </w:tcPr>
          <w:p w14:paraId="0B3568DA" w14:textId="77777777" w:rsidR="00DF0363" w:rsidRDefault="00DF0363" w:rsidP="00FF0E9A">
            <w:pPr>
              <w:jc w:val="right"/>
              <w:rPr>
                <w:lang w:val="en-IN"/>
              </w:rPr>
            </w:pPr>
            <w:bookmarkStart w:id="1" w:name="_Ref104221752"/>
            <w:r>
              <w:rPr>
                <w:lang w:val="en-IN"/>
              </w:rPr>
              <w:t>(</w:t>
            </w:r>
            <w:r>
              <w:fldChar w:fldCharType="begin"/>
            </w:r>
            <w:r>
              <w:rPr>
                <w:lang w:val="en-IN"/>
              </w:rPr>
              <w:instrText xml:space="preserve"> SEQ Equation \* ARABIC </w:instrText>
            </w:r>
            <w:r>
              <w:fldChar w:fldCharType="separate"/>
            </w:r>
            <w:r>
              <w:rPr>
                <w:noProof/>
                <w:lang w:val="en-IN"/>
              </w:rPr>
              <w:t>27</w:t>
            </w:r>
            <w:r>
              <w:fldChar w:fldCharType="end"/>
            </w:r>
            <w:r>
              <w:rPr>
                <w:lang w:val="en-IN"/>
              </w:rPr>
              <w:t>)</w:t>
            </w:r>
            <w:bookmarkEnd w:id="1"/>
          </w:p>
        </w:tc>
      </w:tr>
    </w:tbl>
    <w:p w14:paraId="0B0CD1FC" w14:textId="77777777" w:rsidR="00DF0363" w:rsidRDefault="00DF0363" w:rsidP="00DF0363">
      <w:pPr>
        <w:rPr>
          <w:lang w:val="en-IN"/>
        </w:rPr>
      </w:pPr>
      <w:r>
        <w:rPr>
          <w:lang w:val="en-IN"/>
        </w:rPr>
        <w:t>(Note: This problem approximates the Sodium cooled Fast Reactor (SFR) Intermediate Heat Exchanger (IHX) conditions)</w:t>
      </w:r>
    </w:p>
    <w:p w14:paraId="05E06CDE" w14:textId="77777777" w:rsidR="00DF0363" w:rsidRDefault="00DF0363" w:rsidP="00DF0363">
      <w:pPr>
        <w:pStyle w:val="Caption"/>
      </w:pPr>
      <w:bookmarkStart w:id="2" w:name="_Ref104222776"/>
      <w:bookmarkStart w:id="3" w:name="_Toc104279069"/>
      <w:r>
        <w:t xml:space="preserve">Table </w:t>
      </w:r>
      <w:r>
        <w:fldChar w:fldCharType="begin"/>
      </w:r>
      <w:r>
        <w:instrText xml:space="preserve"> SEQ Table \* ARABIC </w:instrText>
      </w:r>
      <w:r>
        <w:fldChar w:fldCharType="separate"/>
      </w:r>
      <w:r>
        <w:rPr>
          <w:noProof/>
        </w:rPr>
        <w:t>12</w:t>
      </w:r>
      <w:r>
        <w:rPr>
          <w:noProof/>
        </w:rPr>
        <w:fldChar w:fldCharType="end"/>
      </w:r>
      <w:bookmarkEnd w:id="2"/>
      <w:r>
        <w:t xml:space="preserve">: Material Properties for Problem </w:t>
      </w:r>
      <w:r>
        <w:fldChar w:fldCharType="begin"/>
      </w:r>
      <w:r>
        <w:instrText xml:space="preserve"> REF _Ref104222040 \r \h </w:instrText>
      </w:r>
      <w:r>
        <w:fldChar w:fldCharType="separate"/>
      </w:r>
      <w:r>
        <w:t>3.4.1</w:t>
      </w:r>
      <w:bookmarkEnd w:id="3"/>
      <w:r>
        <w:fldChar w:fldCharType="end"/>
      </w:r>
    </w:p>
    <w:tbl>
      <w:tblPr>
        <w:tblStyle w:val="TableGrid"/>
        <w:tblW w:w="0" w:type="auto"/>
        <w:tblLook w:val="04A0" w:firstRow="1" w:lastRow="0" w:firstColumn="1" w:lastColumn="0" w:noHBand="0" w:noVBand="1"/>
      </w:tblPr>
      <w:tblGrid>
        <w:gridCol w:w="2833"/>
        <w:gridCol w:w="3146"/>
        <w:gridCol w:w="3037"/>
      </w:tblGrid>
      <w:tr w:rsidR="00DF0363" w14:paraId="56A7A723" w14:textId="77777777" w:rsidTr="00FF0E9A">
        <w:tc>
          <w:tcPr>
            <w:tcW w:w="2941" w:type="dxa"/>
          </w:tcPr>
          <w:p w14:paraId="0DBD3C98" w14:textId="77777777" w:rsidR="00DF0363" w:rsidRDefault="00DF0363" w:rsidP="00FF0E9A">
            <w:pPr>
              <w:jc w:val="center"/>
            </w:pPr>
          </w:p>
        </w:tc>
        <w:tc>
          <w:tcPr>
            <w:tcW w:w="3246" w:type="dxa"/>
          </w:tcPr>
          <w:p w14:paraId="2FCA52AF" w14:textId="77777777" w:rsidR="00DF0363" w:rsidRDefault="00DF0363" w:rsidP="00FF0E9A">
            <w:pPr>
              <w:jc w:val="center"/>
            </w:pPr>
            <w:r>
              <w:t>Property</w:t>
            </w:r>
          </w:p>
        </w:tc>
        <w:tc>
          <w:tcPr>
            <w:tcW w:w="3163" w:type="dxa"/>
          </w:tcPr>
          <w:p w14:paraId="7FD2D7A4" w14:textId="77777777" w:rsidR="00DF0363" w:rsidRDefault="00DF0363" w:rsidP="00FF0E9A">
            <w:pPr>
              <w:jc w:val="center"/>
            </w:pPr>
            <w:r>
              <w:t>Value</w:t>
            </w:r>
          </w:p>
        </w:tc>
      </w:tr>
      <w:tr w:rsidR="00DF0363" w14:paraId="32C2F88C" w14:textId="77777777" w:rsidTr="00FF0E9A">
        <w:tc>
          <w:tcPr>
            <w:tcW w:w="2941" w:type="dxa"/>
            <w:vMerge w:val="restart"/>
          </w:tcPr>
          <w:p w14:paraId="78C3CD97" w14:textId="77777777" w:rsidR="00DF0363" w:rsidRDefault="00DF0363" w:rsidP="00FF0E9A">
            <w:pPr>
              <w:jc w:val="center"/>
            </w:pPr>
            <w:r>
              <w:t>Liquid Sodium</w:t>
            </w:r>
          </w:p>
        </w:tc>
        <w:tc>
          <w:tcPr>
            <w:tcW w:w="3246" w:type="dxa"/>
          </w:tcPr>
          <w:p w14:paraId="0AB31EEF" w14:textId="77777777" w:rsidR="00DF0363" w:rsidRDefault="00DF0363" w:rsidP="00FF0E9A">
            <w:pPr>
              <w:jc w:val="center"/>
            </w:pPr>
            <w:r>
              <w:t>Specific Heat</w:t>
            </w:r>
          </w:p>
        </w:tc>
        <w:tc>
          <w:tcPr>
            <w:tcW w:w="3163" w:type="dxa"/>
          </w:tcPr>
          <w:p w14:paraId="14B65AB8" w14:textId="77777777" w:rsidR="00DF0363" w:rsidRDefault="00DF0363" w:rsidP="00FF0E9A">
            <w:pPr>
              <w:jc w:val="center"/>
            </w:pPr>
            <w:r>
              <w:t>1267 Jkg</w:t>
            </w:r>
            <w:r w:rsidRPr="001553D7">
              <w:rPr>
                <w:vertAlign w:val="superscript"/>
              </w:rPr>
              <w:t>-1</w:t>
            </w:r>
            <w:r>
              <w:t>K</w:t>
            </w:r>
            <w:r w:rsidRPr="001553D7">
              <w:rPr>
                <w:vertAlign w:val="superscript"/>
              </w:rPr>
              <w:t>-1</w:t>
            </w:r>
          </w:p>
        </w:tc>
      </w:tr>
      <w:tr w:rsidR="00DF0363" w14:paraId="7A8C8DBF" w14:textId="77777777" w:rsidTr="00FF0E9A">
        <w:tc>
          <w:tcPr>
            <w:tcW w:w="2941" w:type="dxa"/>
            <w:vMerge/>
          </w:tcPr>
          <w:p w14:paraId="7CC5D312" w14:textId="77777777" w:rsidR="00DF0363" w:rsidRDefault="00DF0363" w:rsidP="00FF0E9A">
            <w:pPr>
              <w:jc w:val="center"/>
            </w:pPr>
          </w:p>
        </w:tc>
        <w:tc>
          <w:tcPr>
            <w:tcW w:w="3246" w:type="dxa"/>
          </w:tcPr>
          <w:p w14:paraId="4C3F4CEE" w14:textId="77777777" w:rsidR="00DF0363" w:rsidRDefault="00DF0363" w:rsidP="00FF0E9A">
            <w:pPr>
              <w:jc w:val="center"/>
            </w:pPr>
            <w:r>
              <w:t>Density</w:t>
            </w:r>
          </w:p>
        </w:tc>
        <w:tc>
          <w:tcPr>
            <w:tcW w:w="3163" w:type="dxa"/>
          </w:tcPr>
          <w:p w14:paraId="337715D0" w14:textId="77777777" w:rsidR="00DF0363" w:rsidRDefault="00DF0363" w:rsidP="00FF0E9A">
            <w:pPr>
              <w:jc w:val="center"/>
            </w:pPr>
            <w:r>
              <w:t>860 kg/m</w:t>
            </w:r>
            <w:r w:rsidRPr="002B3275">
              <w:rPr>
                <w:vertAlign w:val="superscript"/>
              </w:rPr>
              <w:t>3</w:t>
            </w:r>
          </w:p>
        </w:tc>
      </w:tr>
      <w:tr w:rsidR="00DF0363" w14:paraId="56101B26" w14:textId="77777777" w:rsidTr="00FF0E9A">
        <w:tc>
          <w:tcPr>
            <w:tcW w:w="2941" w:type="dxa"/>
            <w:vMerge/>
          </w:tcPr>
          <w:p w14:paraId="7D26D9A2" w14:textId="77777777" w:rsidR="00DF0363" w:rsidRDefault="00DF0363" w:rsidP="00FF0E9A">
            <w:pPr>
              <w:jc w:val="center"/>
            </w:pPr>
          </w:p>
        </w:tc>
        <w:tc>
          <w:tcPr>
            <w:tcW w:w="3246" w:type="dxa"/>
          </w:tcPr>
          <w:p w14:paraId="567828CA" w14:textId="77777777" w:rsidR="00DF0363" w:rsidRDefault="00DF0363" w:rsidP="00FF0E9A">
            <w:pPr>
              <w:jc w:val="center"/>
            </w:pPr>
            <w:r>
              <w:t>Viscosity</w:t>
            </w:r>
          </w:p>
        </w:tc>
        <w:tc>
          <w:tcPr>
            <w:tcW w:w="3163" w:type="dxa"/>
          </w:tcPr>
          <w:p w14:paraId="5AC1C0D9" w14:textId="77777777" w:rsidR="00DF0363" w:rsidRDefault="00DF0363" w:rsidP="00FF0E9A">
            <w:pPr>
              <w:jc w:val="center"/>
            </w:pPr>
            <w:r>
              <w:t>3.75E-4 Pas</w:t>
            </w:r>
          </w:p>
        </w:tc>
      </w:tr>
      <w:tr w:rsidR="00DF0363" w14:paraId="73CD02C6" w14:textId="77777777" w:rsidTr="00FF0E9A">
        <w:tc>
          <w:tcPr>
            <w:tcW w:w="2941" w:type="dxa"/>
            <w:vMerge/>
          </w:tcPr>
          <w:p w14:paraId="42EE643C" w14:textId="77777777" w:rsidR="00DF0363" w:rsidRDefault="00DF0363" w:rsidP="00FF0E9A">
            <w:pPr>
              <w:jc w:val="center"/>
            </w:pPr>
          </w:p>
        </w:tc>
        <w:tc>
          <w:tcPr>
            <w:tcW w:w="3246" w:type="dxa"/>
          </w:tcPr>
          <w:p w14:paraId="4E882D0F" w14:textId="77777777" w:rsidR="00DF0363" w:rsidRDefault="00DF0363" w:rsidP="00FF0E9A">
            <w:pPr>
              <w:jc w:val="center"/>
            </w:pPr>
            <w:r>
              <w:t>Thermal conductivity</w:t>
            </w:r>
          </w:p>
        </w:tc>
        <w:tc>
          <w:tcPr>
            <w:tcW w:w="3163" w:type="dxa"/>
          </w:tcPr>
          <w:p w14:paraId="59357B6E" w14:textId="77777777" w:rsidR="00DF0363" w:rsidRDefault="00DF0363" w:rsidP="00FF0E9A">
            <w:pPr>
              <w:jc w:val="center"/>
            </w:pPr>
            <w:r>
              <w:t>70 Wm</w:t>
            </w:r>
            <w:r w:rsidRPr="005F724C">
              <w:rPr>
                <w:vertAlign w:val="superscript"/>
              </w:rPr>
              <w:t>-1</w:t>
            </w:r>
            <w:r>
              <w:t>K</w:t>
            </w:r>
            <w:r w:rsidRPr="005F724C">
              <w:rPr>
                <w:vertAlign w:val="superscript"/>
              </w:rPr>
              <w:t>-1</w:t>
            </w:r>
          </w:p>
        </w:tc>
      </w:tr>
      <w:tr w:rsidR="00DF0363" w14:paraId="1B1367FE" w14:textId="77777777" w:rsidTr="00FF0E9A">
        <w:tc>
          <w:tcPr>
            <w:tcW w:w="2941" w:type="dxa"/>
          </w:tcPr>
          <w:p w14:paraId="1AF061A4" w14:textId="77777777" w:rsidR="00DF0363" w:rsidRDefault="00DF0363" w:rsidP="00FF0E9A">
            <w:pPr>
              <w:jc w:val="center"/>
            </w:pPr>
            <w:r>
              <w:t>Tube</w:t>
            </w:r>
          </w:p>
        </w:tc>
        <w:tc>
          <w:tcPr>
            <w:tcW w:w="3246" w:type="dxa"/>
          </w:tcPr>
          <w:p w14:paraId="12DE7FDC" w14:textId="77777777" w:rsidR="00DF0363" w:rsidRDefault="00DF0363" w:rsidP="00FF0E9A">
            <w:pPr>
              <w:jc w:val="center"/>
            </w:pPr>
            <w:r>
              <w:t>Thermal conductivity</w:t>
            </w:r>
          </w:p>
        </w:tc>
        <w:tc>
          <w:tcPr>
            <w:tcW w:w="3163" w:type="dxa"/>
          </w:tcPr>
          <w:p w14:paraId="7CDBE5FF" w14:textId="77777777" w:rsidR="00DF0363" w:rsidRDefault="00DF0363" w:rsidP="00FF0E9A">
            <w:pPr>
              <w:jc w:val="center"/>
            </w:pPr>
            <w:r>
              <w:t>20 Wm</w:t>
            </w:r>
            <w:r w:rsidRPr="00365506">
              <w:rPr>
                <w:vertAlign w:val="superscript"/>
              </w:rPr>
              <w:t>-1</w:t>
            </w:r>
            <w:r>
              <w:t>K</w:t>
            </w:r>
            <w:r w:rsidRPr="00365506">
              <w:rPr>
                <w:vertAlign w:val="superscript"/>
              </w:rPr>
              <w:t>-1</w:t>
            </w:r>
          </w:p>
        </w:tc>
      </w:tr>
    </w:tbl>
    <w:p w14:paraId="203C5328" w14:textId="29C29D92" w:rsidR="00DF0363" w:rsidRDefault="00DF0363" w:rsidP="00C37562">
      <w:pPr>
        <w:spacing w:afterLines="60" w:after="144"/>
        <w:rPr>
          <w:b/>
        </w:rPr>
      </w:pPr>
    </w:p>
    <w:p w14:paraId="2A23B2B9" w14:textId="77777777" w:rsidR="00DF0363" w:rsidRDefault="00DF0363">
      <w:pPr>
        <w:rPr>
          <w:b/>
        </w:rPr>
      </w:pPr>
      <w:r>
        <w:rPr>
          <w:b/>
        </w:rPr>
        <w:br w:type="page"/>
      </w:r>
    </w:p>
    <w:p w14:paraId="2A9ED0F2" w14:textId="1D9D8F24" w:rsidR="00474162" w:rsidRDefault="00DF0363" w:rsidP="00DF0363">
      <w:pPr>
        <w:pStyle w:val="Heading1"/>
      </w:pPr>
      <w:r>
        <w:lastRenderedPageBreak/>
        <w:t>Results</w:t>
      </w:r>
    </w:p>
    <w:p w14:paraId="71A17E91" w14:textId="77777777" w:rsidR="00DF0363" w:rsidRDefault="00DF0363" w:rsidP="00DF0363">
      <w:pPr>
        <w:jc w:val="both"/>
        <w:rPr>
          <w:lang w:val="en-IN"/>
        </w:rPr>
      </w:pPr>
      <w:r>
        <w:rPr>
          <w:lang w:val="en-IN"/>
        </w:rPr>
        <w:tab/>
        <w:t xml:space="preserve">The heat transfer rate is estimated as 308 MW which is close to the value reported in </w:t>
      </w:r>
      <w:r>
        <w:rPr>
          <w:lang w:val="en-IN"/>
        </w:rPr>
        <w:fldChar w:fldCharType="begin" w:fldLock="1"/>
      </w:r>
      <w:r>
        <w:rPr>
          <w:lang w:val="en-IN"/>
        </w:rPr>
        <w:instrText>ADDIN CSL_CITATION {"citationItems":[{"id":"ITEM-1","itemData":{"DOI":"https://doi.org/10.1016/j.nucengdes.2008.01.005","ISSN":"0029-5493","abstract":"Intermediate heat exchanger (IHX) in a pool-type liquid metal cooled fast breeder reactor is an important heat exchanging component as it forms an intermediate boundary between the radioactive primary sodium in the pool and the non-radioactive secondary sodium in the steam generator (SG). The thermal loads during steady state and transient conditions impose thermal stresses on the heat exchanger tubes and on the shells which hold the tube bundle. Estimation of these thermal loads and achieving uniform temperature distribution in the tubes and shells by having uniform flow distributions are the major tasks of thermal hydraulic investigations of IHX. Through multi-dimensional thermal hydraulic investigations performed using commercially available computer codes such as PHOENICS, the flow and temperature distributions in the tubes and shells and in its secondary sodium inlet and outlet headers are obtained with and with out provisions of flow distribution devices. The effectiveness of these devices in achieving acceptably uniform flow and temperature distributions has been assessed and thermal loads on the tubes and shells for thermo mechanical analysis of the IHX have been defined. The predictions of the computational studies have been validated against simulated experiments.","author":[{"dropping-particle":"","family":"Gajapathy","given":"R","non-dropping-particle":"","parse-names":false,"suffix":""},{"dropping-particle":"","family":"Velusamy","given":"K","non-dropping-particle":"","parse-names":false,"suffix":""},{"dropping-particle":"","family":"Selvaraj","given":"P","non-dropping-particle":"","parse-names":false,"suffix":""},{"dropping-particle":"","family":"Chellapandi","given":"P","non-dropping-particle":"","parse-names":false,"suffix":""},{"dropping-particle":"","family":"Chetal","given":"S C","non-dropping-particle":"","parse-names":false,"suffix":""},{"dropping-particle":"","family":"Sundararajan","given":"T","non-dropping-particle":"","parse-names":false,"suffix":""}],"container-title":"Nuclear Engineering and Design","id":"ITEM-1","issue":"7","issued":{"date-parts":[["2008"]]},"page":"1577-1591","title":"Thermal hydraulic investigations of intermediate heat exchanger in a pool-type fast breeder reactor","type":"article-journal","volume":"238"},"uris":["http://www.mendeley.com/documents/?uuid=bf598001-b3ec-4ae8-8dd3-7ab794683400"]}],"mendeley":{"formattedCitation":"[19]","plainTextFormattedCitation":"[19]","previouslyFormattedCitation":"[19]"},"properties":{"noteIndex":0},"schema":"https://github.com/citation-style-language/schema/raw/master/csl-citation.json"}</w:instrText>
      </w:r>
      <w:r>
        <w:rPr>
          <w:lang w:val="en-IN"/>
        </w:rPr>
        <w:fldChar w:fldCharType="separate"/>
      </w:r>
      <w:r w:rsidRPr="008951E0">
        <w:rPr>
          <w:noProof/>
          <w:lang w:val="en-IN"/>
        </w:rPr>
        <w:t>[19]</w:t>
      </w:r>
      <w:r>
        <w:rPr>
          <w:lang w:val="en-IN"/>
        </w:rPr>
        <w:fldChar w:fldCharType="end"/>
      </w:r>
      <w:r>
        <w:rPr>
          <w:lang w:val="en-IN"/>
        </w:rPr>
        <w:t xml:space="preserve"> (312.5 MW, deviation ~1 %  only). Thus, the PINET code can accurately simulate conjugate heat transfer problems. </w:t>
      </w:r>
    </w:p>
    <w:p w14:paraId="40892BA0" w14:textId="77777777" w:rsidR="00DF0363" w:rsidRPr="00DF0363" w:rsidRDefault="00DF0363" w:rsidP="00DF0363"/>
    <w:sectPr w:rsidR="00DF0363" w:rsidRPr="00DF0363" w:rsidSect="003D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6494"/>
    <w:multiLevelType w:val="hybridMultilevel"/>
    <w:tmpl w:val="8102992C"/>
    <w:lvl w:ilvl="0" w:tplc="D1F086C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A56C4"/>
    <w:multiLevelType w:val="hybridMultilevel"/>
    <w:tmpl w:val="DEC81DC8"/>
    <w:lvl w:ilvl="0" w:tplc="2CE0FCA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424BE"/>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E45B4"/>
    <w:multiLevelType w:val="hybridMultilevel"/>
    <w:tmpl w:val="39EC8E00"/>
    <w:lvl w:ilvl="0" w:tplc="13C02718">
      <w:start w:val="1"/>
      <w:numFmt w:val="decimal"/>
      <w:pStyle w:val="ListParagraph"/>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441BC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FA1DDA"/>
    <w:multiLevelType w:val="hybridMultilevel"/>
    <w:tmpl w:val="C46A9A12"/>
    <w:lvl w:ilvl="0" w:tplc="E8F4963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B761B"/>
    <w:multiLevelType w:val="hybridMultilevel"/>
    <w:tmpl w:val="85F80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A65AF2"/>
    <w:multiLevelType w:val="hybridMultilevel"/>
    <w:tmpl w:val="903E0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702E9A"/>
    <w:multiLevelType w:val="hybridMultilevel"/>
    <w:tmpl w:val="FFB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569B7"/>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565698">
    <w:abstractNumId w:val="1"/>
  </w:num>
  <w:num w:numId="2" w16cid:durableId="2087530549">
    <w:abstractNumId w:val="3"/>
  </w:num>
  <w:num w:numId="3" w16cid:durableId="1525706010">
    <w:abstractNumId w:val="9"/>
  </w:num>
  <w:num w:numId="4" w16cid:durableId="258955782">
    <w:abstractNumId w:val="7"/>
  </w:num>
  <w:num w:numId="5" w16cid:durableId="397441290">
    <w:abstractNumId w:val="6"/>
  </w:num>
  <w:num w:numId="6" w16cid:durableId="747267009">
    <w:abstractNumId w:val="0"/>
  </w:num>
  <w:num w:numId="7" w16cid:durableId="1490099842">
    <w:abstractNumId w:val="8"/>
  </w:num>
  <w:num w:numId="8" w16cid:durableId="539128414">
    <w:abstractNumId w:val="2"/>
  </w:num>
  <w:num w:numId="9" w16cid:durableId="785390850">
    <w:abstractNumId w:val="5"/>
  </w:num>
  <w:num w:numId="10" w16cid:durableId="874464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Nza1MDIxMDU1tzRQ0lEKTi0uzszPAykwrQUA4TTeUywAAAA="/>
  </w:docVars>
  <w:rsids>
    <w:rsidRoot w:val="00D169D3"/>
    <w:rsid w:val="000C581E"/>
    <w:rsid w:val="000C649C"/>
    <w:rsid w:val="000F0436"/>
    <w:rsid w:val="00154C36"/>
    <w:rsid w:val="00177E26"/>
    <w:rsid w:val="001F4449"/>
    <w:rsid w:val="00215FEF"/>
    <w:rsid w:val="00224226"/>
    <w:rsid w:val="00266597"/>
    <w:rsid w:val="002F496C"/>
    <w:rsid w:val="00302BAF"/>
    <w:rsid w:val="0031527D"/>
    <w:rsid w:val="00324A67"/>
    <w:rsid w:val="003353D1"/>
    <w:rsid w:val="00345841"/>
    <w:rsid w:val="00365BE8"/>
    <w:rsid w:val="003D0A14"/>
    <w:rsid w:val="00466DD6"/>
    <w:rsid w:val="00474162"/>
    <w:rsid w:val="005D7944"/>
    <w:rsid w:val="00604B78"/>
    <w:rsid w:val="00633C76"/>
    <w:rsid w:val="00637C50"/>
    <w:rsid w:val="00656618"/>
    <w:rsid w:val="00727816"/>
    <w:rsid w:val="00782E2F"/>
    <w:rsid w:val="007B1FEB"/>
    <w:rsid w:val="00873B76"/>
    <w:rsid w:val="00877919"/>
    <w:rsid w:val="008F1BA0"/>
    <w:rsid w:val="0093015B"/>
    <w:rsid w:val="0093094C"/>
    <w:rsid w:val="00A229A1"/>
    <w:rsid w:val="00A840E7"/>
    <w:rsid w:val="00B1182C"/>
    <w:rsid w:val="00B82453"/>
    <w:rsid w:val="00BA60B3"/>
    <w:rsid w:val="00C11AF0"/>
    <w:rsid w:val="00C37562"/>
    <w:rsid w:val="00C608E1"/>
    <w:rsid w:val="00C6145C"/>
    <w:rsid w:val="00CC0EBB"/>
    <w:rsid w:val="00D169D3"/>
    <w:rsid w:val="00DA2653"/>
    <w:rsid w:val="00DF0363"/>
    <w:rsid w:val="00F049E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5027"/>
  <w15:docId w15:val="{20699760-552F-4530-811B-B8E58E87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3B76"/>
    <w:rPr>
      <w:rFonts w:ascii="Arial" w:hAnsi="Arial" w:cs="Arial"/>
      <w:sz w:val="24"/>
      <w:szCs w:val="24"/>
    </w:rPr>
  </w:style>
  <w:style w:type="paragraph" w:styleId="Heading1">
    <w:name w:val="heading 1"/>
    <w:basedOn w:val="Normal"/>
    <w:next w:val="Normal"/>
    <w:link w:val="Heading1Char"/>
    <w:uiPriority w:val="9"/>
    <w:qFormat/>
    <w:rsid w:val="00DF0363"/>
    <w:pPr>
      <w:keepNext/>
      <w:numPr>
        <w:numId w:val="10"/>
      </w:numPr>
      <w:spacing w:after="120"/>
      <w:outlineLvl w:val="0"/>
    </w:pPr>
    <w:rPr>
      <w:rFonts w:eastAsiaTheme="majorEastAsia"/>
      <w:b/>
      <w:iCs/>
      <w:szCs w:val="18"/>
    </w:rPr>
  </w:style>
  <w:style w:type="paragraph" w:styleId="Heading2">
    <w:name w:val="heading 2"/>
    <w:next w:val="NoSpacing"/>
    <w:link w:val="Heading2Char"/>
    <w:qFormat/>
    <w:rsid w:val="001F4449"/>
    <w:pPr>
      <w:keepNext/>
      <w:numPr>
        <w:ilvl w:val="1"/>
        <w:numId w:val="10"/>
      </w:numPr>
      <w:outlineLvl w:val="1"/>
    </w:pPr>
    <w:rPr>
      <w:rFonts w:ascii="Times New Roman" w:eastAsia="Times New Roman" w:hAnsi="Times New Roman" w:cs="Times New Roman"/>
      <w:b/>
      <w:bCs/>
      <w:sz w:val="24"/>
      <w:szCs w:val="24"/>
      <w:lang w:bidi="ar-SA"/>
    </w:rPr>
  </w:style>
  <w:style w:type="paragraph" w:styleId="Heading3">
    <w:name w:val="heading 3"/>
    <w:basedOn w:val="Normal"/>
    <w:next w:val="Normal"/>
    <w:link w:val="Heading3Char"/>
    <w:qFormat/>
    <w:rsid w:val="001F4449"/>
    <w:pPr>
      <w:keepNext/>
      <w:numPr>
        <w:ilvl w:val="2"/>
        <w:numId w:val="10"/>
      </w:numPr>
      <w:spacing w:after="0" w:line="240" w:lineRule="auto"/>
      <w:jc w:val="center"/>
      <w:outlineLvl w:val="2"/>
    </w:pPr>
    <w:rPr>
      <w:rFonts w:eastAsia="Times New Roman" w:cs="Times New Roman"/>
    </w:rPr>
  </w:style>
  <w:style w:type="paragraph" w:styleId="Heading4">
    <w:name w:val="heading 4"/>
    <w:basedOn w:val="Normal"/>
    <w:next w:val="Normal"/>
    <w:link w:val="Heading4Char"/>
    <w:uiPriority w:val="9"/>
    <w:semiHidden/>
    <w:unhideWhenUsed/>
    <w:qFormat/>
    <w:rsid w:val="00DF0363"/>
    <w:pPr>
      <w:keepNext/>
      <w:keepLines/>
      <w:numPr>
        <w:ilvl w:val="3"/>
        <w:numId w:val="10"/>
      </w:numPr>
      <w:spacing w:before="40" w:after="0"/>
      <w:outlineLvl w:val="3"/>
    </w:pPr>
    <w:rPr>
      <w:rFonts w:asciiTheme="majorHAnsi" w:eastAsiaTheme="majorEastAsia" w:hAnsiTheme="majorHAnsi" w:cs="Mangal"/>
      <w:i/>
      <w:iCs/>
      <w:color w:val="365F91" w:themeColor="accent1" w:themeShade="BF"/>
      <w:szCs w:val="21"/>
    </w:rPr>
  </w:style>
  <w:style w:type="paragraph" w:styleId="Heading5">
    <w:name w:val="heading 5"/>
    <w:basedOn w:val="Normal"/>
    <w:next w:val="Normal"/>
    <w:link w:val="Heading5Char"/>
    <w:uiPriority w:val="9"/>
    <w:semiHidden/>
    <w:unhideWhenUsed/>
    <w:qFormat/>
    <w:rsid w:val="00DF0363"/>
    <w:pPr>
      <w:keepNext/>
      <w:keepLines/>
      <w:numPr>
        <w:ilvl w:val="4"/>
        <w:numId w:val="10"/>
      </w:numPr>
      <w:spacing w:before="40" w:after="0"/>
      <w:outlineLvl w:val="4"/>
    </w:pPr>
    <w:rPr>
      <w:rFonts w:asciiTheme="majorHAnsi" w:eastAsiaTheme="majorEastAsia" w:hAnsiTheme="majorHAnsi" w:cs="Mangal"/>
      <w:color w:val="365F91" w:themeColor="accent1" w:themeShade="BF"/>
      <w:szCs w:val="21"/>
    </w:rPr>
  </w:style>
  <w:style w:type="paragraph" w:styleId="Heading6">
    <w:name w:val="heading 6"/>
    <w:basedOn w:val="Normal"/>
    <w:next w:val="Normal"/>
    <w:link w:val="Heading6Char"/>
    <w:uiPriority w:val="9"/>
    <w:semiHidden/>
    <w:unhideWhenUsed/>
    <w:qFormat/>
    <w:rsid w:val="00DF0363"/>
    <w:pPr>
      <w:keepNext/>
      <w:keepLines/>
      <w:numPr>
        <w:ilvl w:val="5"/>
        <w:numId w:val="10"/>
      </w:numPr>
      <w:spacing w:before="40" w:after="0"/>
      <w:outlineLvl w:val="5"/>
    </w:pPr>
    <w:rPr>
      <w:rFonts w:asciiTheme="majorHAnsi" w:eastAsiaTheme="majorEastAsia" w:hAnsiTheme="majorHAnsi" w:cs="Mangal"/>
      <w:color w:val="243F60" w:themeColor="accent1" w:themeShade="7F"/>
      <w:szCs w:val="21"/>
    </w:rPr>
  </w:style>
  <w:style w:type="paragraph" w:styleId="Heading7">
    <w:name w:val="heading 7"/>
    <w:basedOn w:val="Normal"/>
    <w:next w:val="Normal"/>
    <w:link w:val="Heading7Char"/>
    <w:uiPriority w:val="9"/>
    <w:semiHidden/>
    <w:unhideWhenUsed/>
    <w:qFormat/>
    <w:rsid w:val="00DF0363"/>
    <w:pPr>
      <w:keepNext/>
      <w:keepLines/>
      <w:numPr>
        <w:ilvl w:val="6"/>
        <w:numId w:val="10"/>
      </w:numPr>
      <w:spacing w:before="40" w:after="0"/>
      <w:outlineLvl w:val="6"/>
    </w:pPr>
    <w:rPr>
      <w:rFonts w:asciiTheme="majorHAnsi" w:eastAsiaTheme="majorEastAsia" w:hAnsiTheme="majorHAnsi" w:cs="Mangal"/>
      <w:i/>
      <w:iCs/>
      <w:color w:val="243F60" w:themeColor="accent1" w:themeShade="7F"/>
      <w:szCs w:val="21"/>
    </w:rPr>
  </w:style>
  <w:style w:type="paragraph" w:styleId="Heading8">
    <w:name w:val="heading 8"/>
    <w:basedOn w:val="Normal"/>
    <w:next w:val="Normal"/>
    <w:link w:val="Heading8Char"/>
    <w:uiPriority w:val="9"/>
    <w:semiHidden/>
    <w:unhideWhenUsed/>
    <w:qFormat/>
    <w:rsid w:val="00DF0363"/>
    <w:pPr>
      <w:keepNext/>
      <w:keepLines/>
      <w:numPr>
        <w:ilvl w:val="7"/>
        <w:numId w:val="10"/>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DF0363"/>
    <w:pPr>
      <w:keepNext/>
      <w:keepLines/>
      <w:numPr>
        <w:ilvl w:val="8"/>
        <w:numId w:val="10"/>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363"/>
    <w:rPr>
      <w:rFonts w:ascii="Arial" w:eastAsiaTheme="majorEastAsia" w:hAnsi="Arial" w:cs="Arial"/>
      <w:b/>
      <w:iCs/>
      <w:sz w:val="24"/>
      <w:szCs w:val="18"/>
    </w:rPr>
  </w:style>
  <w:style w:type="character" w:customStyle="1" w:styleId="Heading2Char">
    <w:name w:val="Heading 2 Char"/>
    <w:basedOn w:val="DefaultParagraphFont"/>
    <w:link w:val="Heading2"/>
    <w:rsid w:val="001F4449"/>
    <w:rPr>
      <w:rFonts w:ascii="Times New Roman" w:eastAsia="Times New Roman" w:hAnsi="Times New Roman" w:cs="Times New Roman"/>
      <w:b/>
      <w:bCs/>
      <w:sz w:val="24"/>
      <w:szCs w:val="24"/>
      <w:lang w:bidi="ar-SA"/>
    </w:rPr>
  </w:style>
  <w:style w:type="paragraph" w:styleId="NoSpacing">
    <w:name w:val="No Spacing"/>
    <w:uiPriority w:val="1"/>
    <w:qFormat/>
    <w:rsid w:val="001F4449"/>
    <w:pPr>
      <w:spacing w:after="0" w:line="240" w:lineRule="auto"/>
    </w:pPr>
    <w:rPr>
      <w:sz w:val="22"/>
      <w:szCs w:val="22"/>
      <w:lang w:val="en-GB" w:bidi="ar-SA"/>
    </w:rPr>
  </w:style>
  <w:style w:type="character" w:customStyle="1" w:styleId="Heading3Char">
    <w:name w:val="Heading 3 Char"/>
    <w:basedOn w:val="DefaultParagraphFont"/>
    <w:link w:val="Heading3"/>
    <w:qFormat/>
    <w:rsid w:val="001F4449"/>
    <w:rPr>
      <w:rFonts w:ascii="Arial" w:eastAsia="Times New Roman" w:hAnsi="Arial" w:cs="Times New Roman"/>
      <w:sz w:val="24"/>
      <w:szCs w:val="20"/>
    </w:rPr>
  </w:style>
  <w:style w:type="paragraph" w:styleId="Header">
    <w:name w:val="header"/>
    <w:basedOn w:val="Normal"/>
    <w:link w:val="Head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HeaderChar">
    <w:name w:val="Header Char"/>
    <w:basedOn w:val="DefaultParagraphFont"/>
    <w:link w:val="Header"/>
    <w:uiPriority w:val="99"/>
    <w:rsid w:val="001F4449"/>
    <w:rPr>
      <w:rFonts w:ascii="Times New Roman" w:eastAsia="Times New Roman" w:hAnsi="Times New Roman" w:cs="Times New Roman"/>
      <w:sz w:val="24"/>
      <w:szCs w:val="20"/>
      <w:lang w:val="en-GB"/>
    </w:rPr>
  </w:style>
  <w:style w:type="paragraph" w:styleId="Footer">
    <w:name w:val="footer"/>
    <w:basedOn w:val="Normal"/>
    <w:link w:val="Foot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FooterChar">
    <w:name w:val="Footer Char"/>
    <w:basedOn w:val="DefaultParagraphFont"/>
    <w:link w:val="Footer"/>
    <w:uiPriority w:val="99"/>
    <w:rsid w:val="001F4449"/>
    <w:rPr>
      <w:rFonts w:ascii="Times New Roman" w:eastAsia="Times New Roman" w:hAnsi="Times New Roman" w:cs="Times New Roman"/>
      <w:sz w:val="24"/>
      <w:szCs w:val="20"/>
      <w:lang w:val="en-GB"/>
    </w:rPr>
  </w:style>
  <w:style w:type="paragraph" w:styleId="BodyText">
    <w:name w:val="Body Text"/>
    <w:basedOn w:val="Normal"/>
    <w:link w:val="BodyTextChar"/>
    <w:uiPriority w:val="1"/>
    <w:qFormat/>
    <w:rsid w:val="001F4449"/>
    <w:pPr>
      <w:tabs>
        <w:tab w:val="left" w:pos="-714"/>
        <w:tab w:val="left" w:pos="6"/>
        <w:tab w:val="left" w:pos="402"/>
        <w:tab w:val="left" w:pos="732"/>
        <w:tab w:val="left" w:pos="2166"/>
        <w:tab w:val="left" w:pos="2886"/>
        <w:tab w:val="left" w:pos="3606"/>
        <w:tab w:val="left" w:pos="4326"/>
        <w:tab w:val="left" w:pos="5046"/>
        <w:tab w:val="left" w:pos="5766"/>
        <w:tab w:val="left" w:pos="6486"/>
        <w:tab w:val="left" w:pos="7206"/>
        <w:tab w:val="left" w:pos="7926"/>
        <w:tab w:val="left" w:pos="8646"/>
        <w:tab w:val="left" w:pos="9366"/>
        <w:tab w:val="left" w:pos="10086"/>
        <w:tab w:val="left" w:pos="10806"/>
        <w:tab w:val="left" w:pos="11526"/>
        <w:tab w:val="left" w:pos="12246"/>
      </w:tabs>
      <w:spacing w:after="12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qFormat/>
    <w:rsid w:val="001F4449"/>
    <w:rPr>
      <w:rFonts w:ascii="Times New Roman" w:eastAsia="Times New Roman" w:hAnsi="Times New Roman" w:cs="Times New Roman"/>
      <w:sz w:val="24"/>
      <w:szCs w:val="24"/>
    </w:rPr>
  </w:style>
  <w:style w:type="paragraph" w:styleId="BodyTextIndent2">
    <w:name w:val="Body Text Indent 2"/>
    <w:basedOn w:val="Normal"/>
    <w:link w:val="BodyTextIndent2Char"/>
    <w:semiHidden/>
    <w:qFormat/>
    <w:rsid w:val="001F4449"/>
    <w:pPr>
      <w:spacing w:after="0" w:line="240" w:lineRule="auto"/>
      <w:ind w:left="360"/>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1F4449"/>
    <w:rPr>
      <w:rFonts w:ascii="Times New Roman" w:eastAsia="Times New Roman" w:hAnsi="Times New Roman" w:cs="Times New Roman"/>
      <w:sz w:val="24"/>
      <w:szCs w:val="20"/>
    </w:rPr>
  </w:style>
  <w:style w:type="character" w:styleId="Hyperlink">
    <w:name w:val="Hyperlink"/>
    <w:uiPriority w:val="99"/>
    <w:qFormat/>
    <w:rsid w:val="001F4449"/>
    <w:rPr>
      <w:color w:val="0000FF"/>
      <w:u w:val="single"/>
    </w:rPr>
  </w:style>
  <w:style w:type="character" w:styleId="Strong">
    <w:name w:val="Strong"/>
    <w:basedOn w:val="DefaultParagraphFont"/>
    <w:uiPriority w:val="22"/>
    <w:qFormat/>
    <w:rsid w:val="001F4449"/>
    <w:rPr>
      <w:b/>
      <w:bCs/>
    </w:rPr>
  </w:style>
  <w:style w:type="paragraph" w:styleId="ListParagraph">
    <w:name w:val="List Paragraph"/>
    <w:basedOn w:val="Normal"/>
    <w:uiPriority w:val="34"/>
    <w:qFormat/>
    <w:rsid w:val="00D169D3"/>
    <w:pPr>
      <w:numPr>
        <w:numId w:val="2"/>
      </w:numPr>
      <w:contextualSpacing/>
    </w:pPr>
    <w:rPr>
      <w:lang w:bidi="ar-SA"/>
    </w:rPr>
  </w:style>
  <w:style w:type="paragraph" w:styleId="TOCHeading">
    <w:name w:val="TOC Heading"/>
    <w:basedOn w:val="Heading1"/>
    <w:next w:val="Normal"/>
    <w:uiPriority w:val="39"/>
    <w:semiHidden/>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eastAsia="ja-JP" w:bidi="ar-SA"/>
    </w:rPr>
  </w:style>
  <w:style w:type="paragraph" w:customStyle="1" w:styleId="TOCHeading1">
    <w:name w:val="TOC Heading1"/>
    <w:basedOn w:val="Heading1"/>
    <w:next w:val="Normal"/>
    <w:uiPriority w:val="39"/>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bidi="ar-SA"/>
    </w:rPr>
  </w:style>
  <w:style w:type="character" w:customStyle="1" w:styleId="st">
    <w:name w:val="st"/>
    <w:basedOn w:val="DefaultParagraphFont"/>
    <w:qFormat/>
    <w:rsid w:val="001F4449"/>
  </w:style>
  <w:style w:type="paragraph" w:customStyle="1" w:styleId="TableParagraph">
    <w:name w:val="Table Paragraph"/>
    <w:basedOn w:val="Normal"/>
    <w:uiPriority w:val="1"/>
    <w:qFormat/>
    <w:rsid w:val="001F4449"/>
    <w:pPr>
      <w:widowControl w:val="0"/>
      <w:autoSpaceDE w:val="0"/>
      <w:autoSpaceDN w:val="0"/>
      <w:spacing w:after="0" w:line="248" w:lineRule="exact"/>
      <w:ind w:left="548"/>
    </w:pPr>
    <w:rPr>
      <w:rFonts w:ascii="Times New Roman" w:eastAsia="Times New Roman" w:hAnsi="Times New Roman" w:cs="Times New Roman"/>
      <w:sz w:val="22"/>
      <w:szCs w:val="22"/>
      <w:lang w:bidi="en-US"/>
    </w:rPr>
  </w:style>
  <w:style w:type="paragraph" w:styleId="BalloonText">
    <w:name w:val="Balloon Text"/>
    <w:basedOn w:val="Normal"/>
    <w:link w:val="BalloonTextChar"/>
    <w:uiPriority w:val="99"/>
    <w:semiHidden/>
    <w:unhideWhenUsed/>
    <w:rsid w:val="0031527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27D"/>
    <w:rPr>
      <w:rFonts w:ascii="Tahoma" w:hAnsi="Tahoma" w:cs="Mangal"/>
      <w:sz w:val="16"/>
      <w:szCs w:val="14"/>
    </w:rPr>
  </w:style>
  <w:style w:type="character" w:customStyle="1" w:styleId="sc11">
    <w:name w:val="sc11"/>
    <w:basedOn w:val="DefaultParagraphFont"/>
    <w:rsid w:val="0031527D"/>
    <w:rPr>
      <w:rFonts w:ascii="Courier New" w:hAnsi="Courier New" w:cs="Courier New" w:hint="default"/>
      <w:color w:val="000000"/>
      <w:sz w:val="20"/>
      <w:szCs w:val="20"/>
    </w:rPr>
  </w:style>
  <w:style w:type="character" w:customStyle="1" w:styleId="sc0">
    <w:name w:val="sc0"/>
    <w:basedOn w:val="DefaultParagraphFont"/>
    <w:rsid w:val="0031527D"/>
    <w:rPr>
      <w:rFonts w:ascii="Courier New" w:hAnsi="Courier New" w:cs="Courier New" w:hint="default"/>
      <w:color w:val="000000"/>
      <w:sz w:val="20"/>
      <w:szCs w:val="20"/>
    </w:rPr>
  </w:style>
  <w:style w:type="character" w:customStyle="1" w:styleId="sc101">
    <w:name w:val="sc101"/>
    <w:basedOn w:val="DefaultParagraphFont"/>
    <w:rsid w:val="0031527D"/>
    <w:rPr>
      <w:rFonts w:ascii="Courier New" w:hAnsi="Courier New" w:cs="Courier New" w:hint="default"/>
      <w:b/>
      <w:bCs/>
      <w:color w:val="000080"/>
      <w:sz w:val="20"/>
      <w:szCs w:val="20"/>
    </w:rPr>
  </w:style>
  <w:style w:type="character" w:customStyle="1" w:styleId="sc31">
    <w:name w:val="sc31"/>
    <w:basedOn w:val="DefaultParagraphFont"/>
    <w:rsid w:val="0031527D"/>
    <w:rPr>
      <w:rFonts w:ascii="Courier New" w:hAnsi="Courier New" w:cs="Courier New" w:hint="default"/>
      <w:color w:val="808080"/>
      <w:sz w:val="20"/>
      <w:szCs w:val="20"/>
    </w:rPr>
  </w:style>
  <w:style w:type="character" w:customStyle="1" w:styleId="sc51">
    <w:name w:val="sc51"/>
    <w:basedOn w:val="DefaultParagraphFont"/>
    <w:rsid w:val="0031527D"/>
    <w:rPr>
      <w:rFonts w:ascii="Courier New" w:hAnsi="Courier New" w:cs="Courier New" w:hint="default"/>
      <w:b/>
      <w:bCs/>
      <w:color w:val="0000FF"/>
      <w:sz w:val="20"/>
      <w:szCs w:val="20"/>
    </w:rPr>
  </w:style>
  <w:style w:type="character" w:customStyle="1" w:styleId="sc21">
    <w:name w:val="sc21"/>
    <w:basedOn w:val="DefaultParagraphFont"/>
    <w:rsid w:val="0031527D"/>
    <w:rPr>
      <w:rFonts w:ascii="Courier New" w:hAnsi="Courier New" w:cs="Courier New" w:hint="default"/>
      <w:color w:val="FF0000"/>
      <w:sz w:val="20"/>
      <w:szCs w:val="20"/>
    </w:rPr>
  </w:style>
  <w:style w:type="character" w:customStyle="1" w:styleId="sc41">
    <w:name w:val="sc41"/>
    <w:basedOn w:val="DefaultParagraphFont"/>
    <w:rsid w:val="0031527D"/>
    <w:rPr>
      <w:rFonts w:ascii="Courier New" w:hAnsi="Courier New" w:cs="Courier New" w:hint="default"/>
      <w:color w:val="808080"/>
      <w:sz w:val="20"/>
      <w:szCs w:val="20"/>
    </w:rPr>
  </w:style>
  <w:style w:type="character" w:customStyle="1" w:styleId="sc141">
    <w:name w:val="sc141"/>
    <w:basedOn w:val="DefaultParagraphFont"/>
    <w:rsid w:val="002F496C"/>
    <w:rPr>
      <w:rFonts w:ascii="Courier New" w:hAnsi="Courier New" w:cs="Courier New" w:hint="default"/>
      <w:b/>
      <w:bCs/>
      <w:color w:val="880088"/>
      <w:sz w:val="20"/>
      <w:szCs w:val="20"/>
    </w:rPr>
  </w:style>
  <w:style w:type="table" w:customStyle="1" w:styleId="TableGridLight1">
    <w:name w:val="Table Grid Light1"/>
    <w:basedOn w:val="TableNormal"/>
    <w:uiPriority w:val="40"/>
    <w:rsid w:val="00782E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unhideWhenUsed/>
    <w:rsid w:val="00C6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0363"/>
    <w:pPr>
      <w:spacing w:before="60" w:after="60" w:line="240" w:lineRule="auto"/>
      <w:jc w:val="center"/>
    </w:pPr>
    <w:rPr>
      <w:rFonts w:ascii="Times New Roman" w:hAnsi="Times New Roman" w:cstheme="minorBidi"/>
      <w:b/>
      <w:iCs/>
      <w:szCs w:val="18"/>
      <w:lang w:bidi="ta-IN"/>
    </w:rPr>
  </w:style>
  <w:style w:type="character" w:customStyle="1" w:styleId="Heading4Char">
    <w:name w:val="Heading 4 Char"/>
    <w:basedOn w:val="DefaultParagraphFont"/>
    <w:link w:val="Heading4"/>
    <w:uiPriority w:val="9"/>
    <w:semiHidden/>
    <w:rsid w:val="00DF0363"/>
    <w:rPr>
      <w:rFonts w:asciiTheme="majorHAnsi" w:eastAsiaTheme="majorEastAsia" w:hAnsiTheme="majorHAnsi" w:cs="Mangal"/>
      <w:i/>
      <w:iCs/>
      <w:color w:val="365F91" w:themeColor="accent1" w:themeShade="BF"/>
      <w:sz w:val="24"/>
      <w:szCs w:val="21"/>
    </w:rPr>
  </w:style>
  <w:style w:type="character" w:customStyle="1" w:styleId="Heading5Char">
    <w:name w:val="Heading 5 Char"/>
    <w:basedOn w:val="DefaultParagraphFont"/>
    <w:link w:val="Heading5"/>
    <w:uiPriority w:val="9"/>
    <w:semiHidden/>
    <w:rsid w:val="00DF0363"/>
    <w:rPr>
      <w:rFonts w:asciiTheme="majorHAnsi" w:eastAsiaTheme="majorEastAsia" w:hAnsiTheme="majorHAnsi" w:cs="Mangal"/>
      <w:color w:val="365F91" w:themeColor="accent1" w:themeShade="BF"/>
      <w:sz w:val="24"/>
      <w:szCs w:val="21"/>
    </w:rPr>
  </w:style>
  <w:style w:type="character" w:customStyle="1" w:styleId="Heading6Char">
    <w:name w:val="Heading 6 Char"/>
    <w:basedOn w:val="DefaultParagraphFont"/>
    <w:link w:val="Heading6"/>
    <w:uiPriority w:val="9"/>
    <w:semiHidden/>
    <w:rsid w:val="00DF0363"/>
    <w:rPr>
      <w:rFonts w:asciiTheme="majorHAnsi" w:eastAsiaTheme="majorEastAsia" w:hAnsiTheme="majorHAnsi" w:cs="Mangal"/>
      <w:color w:val="243F60" w:themeColor="accent1" w:themeShade="7F"/>
      <w:sz w:val="24"/>
      <w:szCs w:val="21"/>
    </w:rPr>
  </w:style>
  <w:style w:type="character" w:customStyle="1" w:styleId="Heading7Char">
    <w:name w:val="Heading 7 Char"/>
    <w:basedOn w:val="DefaultParagraphFont"/>
    <w:link w:val="Heading7"/>
    <w:uiPriority w:val="9"/>
    <w:semiHidden/>
    <w:rsid w:val="00DF0363"/>
    <w:rPr>
      <w:rFonts w:asciiTheme="majorHAnsi" w:eastAsiaTheme="majorEastAsia" w:hAnsiTheme="majorHAnsi" w:cs="Mangal"/>
      <w:i/>
      <w:iCs/>
      <w:color w:val="243F60" w:themeColor="accent1" w:themeShade="7F"/>
      <w:sz w:val="24"/>
      <w:szCs w:val="21"/>
    </w:rPr>
  </w:style>
  <w:style w:type="character" w:customStyle="1" w:styleId="Heading8Char">
    <w:name w:val="Heading 8 Char"/>
    <w:basedOn w:val="DefaultParagraphFont"/>
    <w:link w:val="Heading8"/>
    <w:uiPriority w:val="9"/>
    <w:semiHidden/>
    <w:rsid w:val="00DF03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F0363"/>
    <w:rPr>
      <w:rFonts w:asciiTheme="majorHAnsi" w:eastAsiaTheme="majorEastAsia" w:hAnsiTheme="majorHAnsi" w:cs="Mangal"/>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04">
      <w:bodyDiv w:val="1"/>
      <w:marLeft w:val="0"/>
      <w:marRight w:val="0"/>
      <w:marTop w:val="0"/>
      <w:marBottom w:val="0"/>
      <w:divBdr>
        <w:top w:val="none" w:sz="0" w:space="0" w:color="auto"/>
        <w:left w:val="none" w:sz="0" w:space="0" w:color="auto"/>
        <w:bottom w:val="none" w:sz="0" w:space="0" w:color="auto"/>
        <w:right w:val="none" w:sz="0" w:space="0" w:color="auto"/>
      </w:divBdr>
    </w:div>
    <w:div w:id="55399359">
      <w:bodyDiv w:val="1"/>
      <w:marLeft w:val="0"/>
      <w:marRight w:val="0"/>
      <w:marTop w:val="0"/>
      <w:marBottom w:val="0"/>
      <w:divBdr>
        <w:top w:val="none" w:sz="0" w:space="0" w:color="auto"/>
        <w:left w:val="none" w:sz="0" w:space="0" w:color="auto"/>
        <w:bottom w:val="none" w:sz="0" w:space="0" w:color="auto"/>
        <w:right w:val="none" w:sz="0" w:space="0" w:color="auto"/>
      </w:divBdr>
      <w:divsChild>
        <w:div w:id="590814951">
          <w:marLeft w:val="0"/>
          <w:marRight w:val="0"/>
          <w:marTop w:val="0"/>
          <w:marBottom w:val="0"/>
          <w:divBdr>
            <w:top w:val="none" w:sz="0" w:space="0" w:color="auto"/>
            <w:left w:val="none" w:sz="0" w:space="0" w:color="auto"/>
            <w:bottom w:val="none" w:sz="0" w:space="0" w:color="auto"/>
            <w:right w:val="none" w:sz="0" w:space="0" w:color="auto"/>
          </w:divBdr>
        </w:div>
      </w:divsChild>
    </w:div>
    <w:div w:id="246690127">
      <w:bodyDiv w:val="1"/>
      <w:marLeft w:val="0"/>
      <w:marRight w:val="0"/>
      <w:marTop w:val="0"/>
      <w:marBottom w:val="0"/>
      <w:divBdr>
        <w:top w:val="none" w:sz="0" w:space="0" w:color="auto"/>
        <w:left w:val="none" w:sz="0" w:space="0" w:color="auto"/>
        <w:bottom w:val="none" w:sz="0" w:space="0" w:color="auto"/>
        <w:right w:val="none" w:sz="0" w:space="0" w:color="auto"/>
      </w:divBdr>
    </w:div>
    <w:div w:id="362556388">
      <w:bodyDiv w:val="1"/>
      <w:marLeft w:val="0"/>
      <w:marRight w:val="0"/>
      <w:marTop w:val="0"/>
      <w:marBottom w:val="0"/>
      <w:divBdr>
        <w:top w:val="none" w:sz="0" w:space="0" w:color="auto"/>
        <w:left w:val="none" w:sz="0" w:space="0" w:color="auto"/>
        <w:bottom w:val="none" w:sz="0" w:space="0" w:color="auto"/>
        <w:right w:val="none" w:sz="0" w:space="0" w:color="auto"/>
      </w:divBdr>
      <w:divsChild>
        <w:div w:id="1432704206">
          <w:marLeft w:val="0"/>
          <w:marRight w:val="0"/>
          <w:marTop w:val="0"/>
          <w:marBottom w:val="0"/>
          <w:divBdr>
            <w:top w:val="none" w:sz="0" w:space="0" w:color="auto"/>
            <w:left w:val="none" w:sz="0" w:space="0" w:color="auto"/>
            <w:bottom w:val="none" w:sz="0" w:space="0" w:color="auto"/>
            <w:right w:val="none" w:sz="0" w:space="0" w:color="auto"/>
          </w:divBdr>
        </w:div>
      </w:divsChild>
    </w:div>
    <w:div w:id="498471277">
      <w:bodyDiv w:val="1"/>
      <w:marLeft w:val="0"/>
      <w:marRight w:val="0"/>
      <w:marTop w:val="0"/>
      <w:marBottom w:val="0"/>
      <w:divBdr>
        <w:top w:val="none" w:sz="0" w:space="0" w:color="auto"/>
        <w:left w:val="none" w:sz="0" w:space="0" w:color="auto"/>
        <w:bottom w:val="none" w:sz="0" w:space="0" w:color="auto"/>
        <w:right w:val="none" w:sz="0" w:space="0" w:color="auto"/>
      </w:divBdr>
      <w:divsChild>
        <w:div w:id="418794959">
          <w:marLeft w:val="0"/>
          <w:marRight w:val="0"/>
          <w:marTop w:val="0"/>
          <w:marBottom w:val="0"/>
          <w:divBdr>
            <w:top w:val="none" w:sz="0" w:space="0" w:color="auto"/>
            <w:left w:val="none" w:sz="0" w:space="0" w:color="auto"/>
            <w:bottom w:val="none" w:sz="0" w:space="0" w:color="auto"/>
            <w:right w:val="none" w:sz="0" w:space="0" w:color="auto"/>
          </w:divBdr>
        </w:div>
      </w:divsChild>
    </w:div>
    <w:div w:id="682779555">
      <w:bodyDiv w:val="1"/>
      <w:marLeft w:val="0"/>
      <w:marRight w:val="0"/>
      <w:marTop w:val="0"/>
      <w:marBottom w:val="0"/>
      <w:divBdr>
        <w:top w:val="none" w:sz="0" w:space="0" w:color="auto"/>
        <w:left w:val="none" w:sz="0" w:space="0" w:color="auto"/>
        <w:bottom w:val="none" w:sz="0" w:space="0" w:color="auto"/>
        <w:right w:val="none" w:sz="0" w:space="0" w:color="auto"/>
      </w:divBdr>
      <w:divsChild>
        <w:div w:id="938217457">
          <w:marLeft w:val="0"/>
          <w:marRight w:val="0"/>
          <w:marTop w:val="0"/>
          <w:marBottom w:val="0"/>
          <w:divBdr>
            <w:top w:val="none" w:sz="0" w:space="0" w:color="auto"/>
            <w:left w:val="none" w:sz="0" w:space="0" w:color="auto"/>
            <w:bottom w:val="none" w:sz="0" w:space="0" w:color="auto"/>
            <w:right w:val="none" w:sz="0" w:space="0" w:color="auto"/>
          </w:divBdr>
        </w:div>
      </w:divsChild>
    </w:div>
    <w:div w:id="750934176">
      <w:bodyDiv w:val="1"/>
      <w:marLeft w:val="0"/>
      <w:marRight w:val="0"/>
      <w:marTop w:val="0"/>
      <w:marBottom w:val="0"/>
      <w:divBdr>
        <w:top w:val="none" w:sz="0" w:space="0" w:color="auto"/>
        <w:left w:val="none" w:sz="0" w:space="0" w:color="auto"/>
        <w:bottom w:val="none" w:sz="0" w:space="0" w:color="auto"/>
        <w:right w:val="none" w:sz="0" w:space="0" w:color="auto"/>
      </w:divBdr>
      <w:divsChild>
        <w:div w:id="1383285359">
          <w:marLeft w:val="0"/>
          <w:marRight w:val="0"/>
          <w:marTop w:val="0"/>
          <w:marBottom w:val="0"/>
          <w:divBdr>
            <w:top w:val="none" w:sz="0" w:space="0" w:color="auto"/>
            <w:left w:val="none" w:sz="0" w:space="0" w:color="auto"/>
            <w:bottom w:val="none" w:sz="0" w:space="0" w:color="auto"/>
            <w:right w:val="none" w:sz="0" w:space="0" w:color="auto"/>
          </w:divBdr>
        </w:div>
      </w:divsChild>
    </w:div>
    <w:div w:id="768309025">
      <w:bodyDiv w:val="1"/>
      <w:marLeft w:val="0"/>
      <w:marRight w:val="0"/>
      <w:marTop w:val="0"/>
      <w:marBottom w:val="0"/>
      <w:divBdr>
        <w:top w:val="none" w:sz="0" w:space="0" w:color="auto"/>
        <w:left w:val="none" w:sz="0" w:space="0" w:color="auto"/>
        <w:bottom w:val="none" w:sz="0" w:space="0" w:color="auto"/>
        <w:right w:val="none" w:sz="0" w:space="0" w:color="auto"/>
      </w:divBdr>
      <w:divsChild>
        <w:div w:id="1461264040">
          <w:marLeft w:val="0"/>
          <w:marRight w:val="0"/>
          <w:marTop w:val="0"/>
          <w:marBottom w:val="0"/>
          <w:divBdr>
            <w:top w:val="none" w:sz="0" w:space="0" w:color="auto"/>
            <w:left w:val="none" w:sz="0" w:space="0" w:color="auto"/>
            <w:bottom w:val="none" w:sz="0" w:space="0" w:color="auto"/>
            <w:right w:val="none" w:sz="0" w:space="0" w:color="auto"/>
          </w:divBdr>
        </w:div>
      </w:divsChild>
    </w:div>
    <w:div w:id="970670556">
      <w:bodyDiv w:val="1"/>
      <w:marLeft w:val="0"/>
      <w:marRight w:val="0"/>
      <w:marTop w:val="0"/>
      <w:marBottom w:val="0"/>
      <w:divBdr>
        <w:top w:val="none" w:sz="0" w:space="0" w:color="auto"/>
        <w:left w:val="none" w:sz="0" w:space="0" w:color="auto"/>
        <w:bottom w:val="none" w:sz="0" w:space="0" w:color="auto"/>
        <w:right w:val="none" w:sz="0" w:space="0" w:color="auto"/>
      </w:divBdr>
      <w:divsChild>
        <w:div w:id="747963203">
          <w:marLeft w:val="0"/>
          <w:marRight w:val="0"/>
          <w:marTop w:val="0"/>
          <w:marBottom w:val="0"/>
          <w:divBdr>
            <w:top w:val="none" w:sz="0" w:space="0" w:color="auto"/>
            <w:left w:val="none" w:sz="0" w:space="0" w:color="auto"/>
            <w:bottom w:val="none" w:sz="0" w:space="0" w:color="auto"/>
            <w:right w:val="none" w:sz="0" w:space="0" w:color="auto"/>
          </w:divBdr>
        </w:div>
      </w:divsChild>
    </w:div>
    <w:div w:id="979336067">
      <w:bodyDiv w:val="1"/>
      <w:marLeft w:val="0"/>
      <w:marRight w:val="0"/>
      <w:marTop w:val="0"/>
      <w:marBottom w:val="0"/>
      <w:divBdr>
        <w:top w:val="none" w:sz="0" w:space="0" w:color="auto"/>
        <w:left w:val="none" w:sz="0" w:space="0" w:color="auto"/>
        <w:bottom w:val="none" w:sz="0" w:space="0" w:color="auto"/>
        <w:right w:val="none" w:sz="0" w:space="0" w:color="auto"/>
      </w:divBdr>
    </w:div>
    <w:div w:id="1011297718">
      <w:bodyDiv w:val="1"/>
      <w:marLeft w:val="0"/>
      <w:marRight w:val="0"/>
      <w:marTop w:val="0"/>
      <w:marBottom w:val="0"/>
      <w:divBdr>
        <w:top w:val="none" w:sz="0" w:space="0" w:color="auto"/>
        <w:left w:val="none" w:sz="0" w:space="0" w:color="auto"/>
        <w:bottom w:val="none" w:sz="0" w:space="0" w:color="auto"/>
        <w:right w:val="none" w:sz="0" w:space="0" w:color="auto"/>
      </w:divBdr>
      <w:divsChild>
        <w:div w:id="1206528218">
          <w:marLeft w:val="0"/>
          <w:marRight w:val="0"/>
          <w:marTop w:val="0"/>
          <w:marBottom w:val="0"/>
          <w:divBdr>
            <w:top w:val="none" w:sz="0" w:space="0" w:color="auto"/>
            <w:left w:val="none" w:sz="0" w:space="0" w:color="auto"/>
            <w:bottom w:val="none" w:sz="0" w:space="0" w:color="auto"/>
            <w:right w:val="none" w:sz="0" w:space="0" w:color="auto"/>
          </w:divBdr>
        </w:div>
      </w:divsChild>
    </w:div>
    <w:div w:id="1187209011">
      <w:bodyDiv w:val="1"/>
      <w:marLeft w:val="0"/>
      <w:marRight w:val="0"/>
      <w:marTop w:val="0"/>
      <w:marBottom w:val="0"/>
      <w:divBdr>
        <w:top w:val="none" w:sz="0" w:space="0" w:color="auto"/>
        <w:left w:val="none" w:sz="0" w:space="0" w:color="auto"/>
        <w:bottom w:val="none" w:sz="0" w:space="0" w:color="auto"/>
        <w:right w:val="none" w:sz="0" w:space="0" w:color="auto"/>
      </w:divBdr>
      <w:divsChild>
        <w:div w:id="1982879301">
          <w:marLeft w:val="0"/>
          <w:marRight w:val="0"/>
          <w:marTop w:val="0"/>
          <w:marBottom w:val="0"/>
          <w:divBdr>
            <w:top w:val="none" w:sz="0" w:space="0" w:color="auto"/>
            <w:left w:val="none" w:sz="0" w:space="0" w:color="auto"/>
            <w:bottom w:val="none" w:sz="0" w:space="0" w:color="auto"/>
            <w:right w:val="none" w:sz="0" w:space="0" w:color="auto"/>
          </w:divBdr>
        </w:div>
      </w:divsChild>
    </w:div>
    <w:div w:id="1355423235">
      <w:bodyDiv w:val="1"/>
      <w:marLeft w:val="0"/>
      <w:marRight w:val="0"/>
      <w:marTop w:val="0"/>
      <w:marBottom w:val="0"/>
      <w:divBdr>
        <w:top w:val="none" w:sz="0" w:space="0" w:color="auto"/>
        <w:left w:val="none" w:sz="0" w:space="0" w:color="auto"/>
        <w:bottom w:val="none" w:sz="0" w:space="0" w:color="auto"/>
        <w:right w:val="none" w:sz="0" w:space="0" w:color="auto"/>
      </w:divBdr>
      <w:divsChild>
        <w:div w:id="1448353209">
          <w:marLeft w:val="0"/>
          <w:marRight w:val="0"/>
          <w:marTop w:val="0"/>
          <w:marBottom w:val="0"/>
          <w:divBdr>
            <w:top w:val="none" w:sz="0" w:space="0" w:color="auto"/>
            <w:left w:val="none" w:sz="0" w:space="0" w:color="auto"/>
            <w:bottom w:val="none" w:sz="0" w:space="0" w:color="auto"/>
            <w:right w:val="none" w:sz="0" w:space="0" w:color="auto"/>
          </w:divBdr>
        </w:div>
      </w:divsChild>
    </w:div>
    <w:div w:id="1367751847">
      <w:bodyDiv w:val="1"/>
      <w:marLeft w:val="0"/>
      <w:marRight w:val="0"/>
      <w:marTop w:val="0"/>
      <w:marBottom w:val="0"/>
      <w:divBdr>
        <w:top w:val="none" w:sz="0" w:space="0" w:color="auto"/>
        <w:left w:val="none" w:sz="0" w:space="0" w:color="auto"/>
        <w:bottom w:val="none" w:sz="0" w:space="0" w:color="auto"/>
        <w:right w:val="none" w:sz="0" w:space="0" w:color="auto"/>
      </w:divBdr>
      <w:divsChild>
        <w:div w:id="1187063889">
          <w:marLeft w:val="0"/>
          <w:marRight w:val="0"/>
          <w:marTop w:val="0"/>
          <w:marBottom w:val="0"/>
          <w:divBdr>
            <w:top w:val="none" w:sz="0" w:space="0" w:color="auto"/>
            <w:left w:val="none" w:sz="0" w:space="0" w:color="auto"/>
            <w:bottom w:val="none" w:sz="0" w:space="0" w:color="auto"/>
            <w:right w:val="none" w:sz="0" w:space="0" w:color="auto"/>
          </w:divBdr>
        </w:div>
      </w:divsChild>
    </w:div>
    <w:div w:id="1374378663">
      <w:bodyDiv w:val="1"/>
      <w:marLeft w:val="0"/>
      <w:marRight w:val="0"/>
      <w:marTop w:val="0"/>
      <w:marBottom w:val="0"/>
      <w:divBdr>
        <w:top w:val="none" w:sz="0" w:space="0" w:color="auto"/>
        <w:left w:val="none" w:sz="0" w:space="0" w:color="auto"/>
        <w:bottom w:val="none" w:sz="0" w:space="0" w:color="auto"/>
        <w:right w:val="none" w:sz="0" w:space="0" w:color="auto"/>
      </w:divBdr>
    </w:div>
    <w:div w:id="1459033464">
      <w:bodyDiv w:val="1"/>
      <w:marLeft w:val="0"/>
      <w:marRight w:val="0"/>
      <w:marTop w:val="0"/>
      <w:marBottom w:val="0"/>
      <w:divBdr>
        <w:top w:val="none" w:sz="0" w:space="0" w:color="auto"/>
        <w:left w:val="none" w:sz="0" w:space="0" w:color="auto"/>
        <w:bottom w:val="none" w:sz="0" w:space="0" w:color="auto"/>
        <w:right w:val="none" w:sz="0" w:space="0" w:color="auto"/>
      </w:divBdr>
      <w:divsChild>
        <w:div w:id="1209342756">
          <w:marLeft w:val="0"/>
          <w:marRight w:val="0"/>
          <w:marTop w:val="0"/>
          <w:marBottom w:val="0"/>
          <w:divBdr>
            <w:top w:val="none" w:sz="0" w:space="0" w:color="auto"/>
            <w:left w:val="none" w:sz="0" w:space="0" w:color="auto"/>
            <w:bottom w:val="none" w:sz="0" w:space="0" w:color="auto"/>
            <w:right w:val="none" w:sz="0" w:space="0" w:color="auto"/>
          </w:divBdr>
        </w:div>
      </w:divsChild>
    </w:div>
    <w:div w:id="1496799024">
      <w:bodyDiv w:val="1"/>
      <w:marLeft w:val="0"/>
      <w:marRight w:val="0"/>
      <w:marTop w:val="0"/>
      <w:marBottom w:val="0"/>
      <w:divBdr>
        <w:top w:val="none" w:sz="0" w:space="0" w:color="auto"/>
        <w:left w:val="none" w:sz="0" w:space="0" w:color="auto"/>
        <w:bottom w:val="none" w:sz="0" w:space="0" w:color="auto"/>
        <w:right w:val="none" w:sz="0" w:space="0" w:color="auto"/>
      </w:divBdr>
      <w:divsChild>
        <w:div w:id="1268196844">
          <w:marLeft w:val="0"/>
          <w:marRight w:val="0"/>
          <w:marTop w:val="0"/>
          <w:marBottom w:val="0"/>
          <w:divBdr>
            <w:top w:val="none" w:sz="0" w:space="0" w:color="auto"/>
            <w:left w:val="none" w:sz="0" w:space="0" w:color="auto"/>
            <w:bottom w:val="none" w:sz="0" w:space="0" w:color="auto"/>
            <w:right w:val="none" w:sz="0" w:space="0" w:color="auto"/>
          </w:divBdr>
        </w:div>
      </w:divsChild>
    </w:div>
    <w:div w:id="1672024268">
      <w:bodyDiv w:val="1"/>
      <w:marLeft w:val="0"/>
      <w:marRight w:val="0"/>
      <w:marTop w:val="0"/>
      <w:marBottom w:val="0"/>
      <w:divBdr>
        <w:top w:val="none" w:sz="0" w:space="0" w:color="auto"/>
        <w:left w:val="none" w:sz="0" w:space="0" w:color="auto"/>
        <w:bottom w:val="none" w:sz="0" w:space="0" w:color="auto"/>
        <w:right w:val="none" w:sz="0" w:space="0" w:color="auto"/>
      </w:divBdr>
      <w:divsChild>
        <w:div w:id="1654290393">
          <w:marLeft w:val="0"/>
          <w:marRight w:val="0"/>
          <w:marTop w:val="0"/>
          <w:marBottom w:val="0"/>
          <w:divBdr>
            <w:top w:val="none" w:sz="0" w:space="0" w:color="auto"/>
            <w:left w:val="none" w:sz="0" w:space="0" w:color="auto"/>
            <w:bottom w:val="none" w:sz="0" w:space="0" w:color="auto"/>
            <w:right w:val="none" w:sz="0" w:space="0" w:color="auto"/>
          </w:divBdr>
        </w:div>
      </w:divsChild>
    </w:div>
    <w:div w:id="1679843429">
      <w:bodyDiv w:val="1"/>
      <w:marLeft w:val="0"/>
      <w:marRight w:val="0"/>
      <w:marTop w:val="0"/>
      <w:marBottom w:val="0"/>
      <w:divBdr>
        <w:top w:val="none" w:sz="0" w:space="0" w:color="auto"/>
        <w:left w:val="none" w:sz="0" w:space="0" w:color="auto"/>
        <w:bottom w:val="none" w:sz="0" w:space="0" w:color="auto"/>
        <w:right w:val="none" w:sz="0" w:space="0" w:color="auto"/>
      </w:divBdr>
      <w:divsChild>
        <w:div w:id="501089593">
          <w:marLeft w:val="0"/>
          <w:marRight w:val="0"/>
          <w:marTop w:val="0"/>
          <w:marBottom w:val="0"/>
          <w:divBdr>
            <w:top w:val="none" w:sz="0" w:space="0" w:color="auto"/>
            <w:left w:val="none" w:sz="0" w:space="0" w:color="auto"/>
            <w:bottom w:val="none" w:sz="0" w:space="0" w:color="auto"/>
            <w:right w:val="none" w:sz="0" w:space="0" w:color="auto"/>
          </w:divBdr>
        </w:div>
      </w:divsChild>
    </w:div>
    <w:div w:id="1768505219">
      <w:bodyDiv w:val="1"/>
      <w:marLeft w:val="0"/>
      <w:marRight w:val="0"/>
      <w:marTop w:val="0"/>
      <w:marBottom w:val="0"/>
      <w:divBdr>
        <w:top w:val="none" w:sz="0" w:space="0" w:color="auto"/>
        <w:left w:val="none" w:sz="0" w:space="0" w:color="auto"/>
        <w:bottom w:val="none" w:sz="0" w:space="0" w:color="auto"/>
        <w:right w:val="none" w:sz="0" w:space="0" w:color="auto"/>
      </w:divBdr>
      <w:divsChild>
        <w:div w:id="170632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Vikram</dc:creator>
  <cp:keywords/>
  <dc:description/>
  <cp:lastModifiedBy>Vikram Govindarajan</cp:lastModifiedBy>
  <cp:revision>7</cp:revision>
  <dcterms:created xsi:type="dcterms:W3CDTF">2022-06-25T10:20:00Z</dcterms:created>
  <dcterms:modified xsi:type="dcterms:W3CDTF">2022-06-26T10:38:00Z</dcterms:modified>
</cp:coreProperties>
</file>