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Performance Documentation</w:t>
      </w:r>
    </w:p>
    <w:p>
      <w:pPr>
        <w:pStyle w:val="Heading2"/>
      </w:pPr>
      <w:r>
        <w:t>1. Model Overview</w:t>
      </w:r>
    </w:p>
    <w:p>
      <w:r>
        <w:br/>
        <w:t>- Model Type: Gradient Boosting Regressor</w:t>
        <w:br/>
        <w:t>- Training Dataset: Original dataset with specified features</w:t>
        <w:br/>
        <w:t>- Target Variable: Case_Disposal_Rate</w:t>
        <w:br/>
        <w:t>- Features Used:</w:t>
        <w:br/>
        <w:t xml:space="preserve">  - Pending_to_Disposed_Ratio</w:t>
        <w:br/>
        <w:t xml:space="preserve">  - Normalized_Pending_Case_Growth</w:t>
        <w:br/>
        <w:t xml:space="preserve">  - Pending_Case_Growth</w:t>
        <w:br/>
        <w:t xml:space="preserve">  - Normalized_Pending_to_Disposed_Ratio</w:t>
        <w:br/>
        <w:t xml:space="preserve">  - Court_Efficiency_Index</w:t>
        <w:br/>
        <w:t xml:space="preserve">  - Pending cases for a period of 0 to 1 Years</w:t>
        <w:br/>
        <w:t xml:space="preserve">  - Normalized_Old_Pending_Percentage</w:t>
        <w:br/>
        <w:t xml:space="preserve">  - Normalized_Delay_Ratio</w:t>
        <w:br/>
      </w:r>
    </w:p>
    <w:p>
      <w:pPr>
        <w:pStyle w:val="Heading2"/>
      </w:pPr>
      <w:r>
        <w:t>2. Preprocessing Steps</w:t>
      </w:r>
    </w:p>
    <w:p>
      <w:r>
        <w:br/>
        <w:t>1. Imputation: Used SimpleImputer with mean strategy to handle any missing values in the numeric feature columns.</w:t>
        <w:br/>
        <w:t>2. Data Splitting: Split the dataset into an 80% training set and a 20% test set.</w:t>
        <w:br/>
        <w:t>3. Random State: Set random_state=42 for reproducibility.</w:t>
        <w:br/>
      </w:r>
    </w:p>
    <w:p>
      <w:pPr>
        <w:pStyle w:val="Heading2"/>
      </w:pPr>
      <w:r>
        <w:t>3. Model Hyperparameters</w:t>
      </w:r>
    </w:p>
    <w:p>
      <w:r>
        <w:br/>
        <w:t>- n_estimators: 75</w:t>
        <w:br/>
        <w:t>- learning_rate: 0.05</w:t>
        <w:br/>
        <w:t>- max_depth: 3</w:t>
        <w:br/>
        <w:t>- min_samples_split: 20</w:t>
        <w:br/>
        <w:t>- min_samples_leaf: 10</w:t>
        <w:br/>
        <w:t>- subsample: 0.7</w:t>
        <w:br/>
        <w:t>- random_state: 42</w:t>
        <w:br/>
      </w:r>
    </w:p>
    <w:p>
      <w:pPr>
        <w:pStyle w:val="Heading2"/>
      </w:pPr>
      <w:r>
        <w:t>4. Performance on Holdout Test Set</w:t>
      </w:r>
    </w:p>
    <w:p>
      <w:r>
        <w:br/>
        <w:t>Evaluated on the 20% holdout test set.</w:t>
        <w:br/>
        <w:br/>
        <w:t>- Mean Squared Error (MSE): 0.0002</w:t>
        <w:br/>
        <w:t>- Mean Absolute Error (MAE): 0.0032</w:t>
        <w:br/>
        <w:t>- R-squared (R²): 0.9726</w:t>
        <w:br/>
        <w:br/>
        <w:t>These metrics indicate excellent performance on the test set, with the model explaining approximately 97.26% of the variance in the target variable.</w:t>
        <w:br/>
      </w:r>
    </w:p>
    <w:p>
      <w:pPr>
        <w:pStyle w:val="Heading2"/>
      </w:pPr>
      <w:r>
        <w:t>5. Cross-Validation Results</w:t>
      </w:r>
    </w:p>
    <w:p>
      <w:r>
        <w:br/>
        <w:t>- Cross-validated R² scores: [0.7611, 0.9985, 0.9865, 0.8302, 0.9912, 0.9830, 0.9867, 0.9967, 0.9711, 0.9969]</w:t>
        <w:br/>
        <w:t>- Mean R²: 0.9502</w:t>
        <w:br/>
        <w:t>- Standard Deviation of R²: 0.0792</w:t>
        <w:br/>
      </w:r>
    </w:p>
    <w:p>
      <w:pPr>
        <w:pStyle w:val="Heading2"/>
      </w:pPr>
      <w:r>
        <w:t>6. Bootstrapping Results</w:t>
      </w:r>
    </w:p>
    <w:p>
      <w:r>
        <w:br/>
        <w:t>- Bootstrapped R² scores: [0.9902, 0.9905, 0.9937, 0.9862, 0.9851, 0.9888, 0.9899, 0.9842, 0.9843, 0.9809]</w:t>
        <w:br/>
        <w:t>- Mean Bootstrapped R²: 0.9874</w:t>
        <w:br/>
        <w:t>- Standard Deviation of Bootstrapped R²: 0.0037</w:t>
        <w:br/>
      </w:r>
    </w:p>
    <w:p>
      <w:pPr>
        <w:pStyle w:val="Heading2"/>
      </w:pPr>
      <w:r>
        <w:t>7. Visual Analysis</w:t>
      </w:r>
    </w:p>
    <w:p>
      <w:r>
        <w:t>### Actual vs. Predicted Plot</w:t>
      </w:r>
    </w:p>
    <w:p>
      <w:r>
        <w:drawing>
          <wp:inline xmlns:a="http://schemas.openxmlformats.org/drawingml/2006/main" xmlns:pic="http://schemas.openxmlformats.org/drawingml/2006/picture">
            <wp:extent cx="4572000" cy="29040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ual_vs_predict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40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Interpretation of Actual vs. Predicted plot here.</w:t>
      </w:r>
    </w:p>
    <w:p>
      <w:r>
        <w:t>### Residual Distribution</w:t>
      </w:r>
    </w:p>
    <w:p>
      <w:r>
        <w:drawing>
          <wp:inline xmlns:a="http://schemas.openxmlformats.org/drawingml/2006/main" xmlns:pic="http://schemas.openxmlformats.org/drawingml/2006/picture">
            <wp:extent cx="4572000" cy="33078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dual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7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Interpretation of Residual Distribution plot here.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