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B8E9A" w14:textId="77777777" w:rsidR="00454E9A" w:rsidRPr="007A27F3" w:rsidRDefault="00000000" w:rsidP="007A27F3">
      <w:pPr>
        <w:spacing w:after="186" w:line="259" w:lineRule="auto"/>
        <w:ind w:left="11" w:firstLine="0"/>
        <w:jc w:val="center"/>
        <w:rPr>
          <w:lang w:val="en-US"/>
        </w:rPr>
      </w:pPr>
      <w:r w:rsidRPr="007A27F3">
        <w:rPr>
          <w:b/>
          <w:sz w:val="29"/>
          <w:lang w:val="en-US"/>
        </w:rPr>
        <w:t xml:space="preserve">Cover letter to the Editor-in-Chief, </w:t>
      </w:r>
      <w:r w:rsidRPr="007A27F3">
        <w:rPr>
          <w:b/>
          <w:i/>
          <w:sz w:val="29"/>
          <w:lang w:val="en-US"/>
        </w:rPr>
        <w:t>Energies</w:t>
      </w:r>
    </w:p>
    <w:p w14:paraId="7157C0D9" w14:textId="3856430A" w:rsidR="00454E9A" w:rsidRPr="007A27F3" w:rsidRDefault="007A27F3">
      <w:pPr>
        <w:ind w:left="6"/>
        <w:rPr>
          <w:lang w:val="en-US"/>
        </w:rPr>
      </w:pPr>
      <w:r>
        <w:rPr>
          <w:lang w:val="en-US"/>
        </w:rPr>
        <w:t>28 May</w:t>
      </w:r>
      <w:r w:rsidR="00000000" w:rsidRPr="007A27F3">
        <w:rPr>
          <w:lang w:val="en-US"/>
        </w:rPr>
        <w:t xml:space="preserve"> 2026</w:t>
      </w:r>
    </w:p>
    <w:p w14:paraId="4E8E396B" w14:textId="77777777" w:rsidR="00454E9A" w:rsidRPr="007A27F3" w:rsidRDefault="00000000">
      <w:pPr>
        <w:ind w:left="6"/>
        <w:rPr>
          <w:lang w:val="en-US"/>
        </w:rPr>
      </w:pPr>
      <w:r w:rsidRPr="007A27F3">
        <w:rPr>
          <w:lang w:val="en-US"/>
        </w:rPr>
        <w:t xml:space="preserve">Editor-in-Chief </w:t>
      </w:r>
      <w:r w:rsidRPr="007A27F3">
        <w:rPr>
          <w:i/>
          <w:lang w:val="en-US"/>
        </w:rPr>
        <w:t>Energies</w:t>
      </w:r>
      <w:r w:rsidRPr="007A27F3">
        <w:rPr>
          <w:lang w:val="en-US"/>
        </w:rPr>
        <w:t>, MDPI St. Alban-Anlage 66, 4052 Basel, Switzerland</w:t>
      </w:r>
    </w:p>
    <w:p w14:paraId="413DAFFD" w14:textId="77777777" w:rsidR="00454E9A" w:rsidRPr="007A27F3" w:rsidRDefault="00000000">
      <w:pPr>
        <w:spacing w:after="135" w:line="258" w:lineRule="auto"/>
        <w:ind w:left="6" w:right="22"/>
        <w:rPr>
          <w:lang w:val="en-US"/>
        </w:rPr>
      </w:pPr>
      <w:r w:rsidRPr="007A27F3">
        <w:rPr>
          <w:b/>
          <w:lang w:val="en-US"/>
        </w:rPr>
        <w:t xml:space="preserve">Re: Submission of manuscript “Architecting the Digital RES Learning Factory: A Scalable </w:t>
      </w:r>
      <w:proofErr w:type="spellStart"/>
      <w:r w:rsidRPr="007A27F3">
        <w:rPr>
          <w:b/>
          <w:lang w:val="en-US"/>
        </w:rPr>
        <w:t>MING+React</w:t>
      </w:r>
      <w:proofErr w:type="spellEnd"/>
      <w:r w:rsidRPr="007A27F3">
        <w:rPr>
          <w:b/>
          <w:lang w:val="en-US"/>
        </w:rPr>
        <w:t xml:space="preserve"> Telemetry Pipeline for Multi-Vector Energy Systems” to </w:t>
      </w:r>
      <w:r w:rsidRPr="007A27F3">
        <w:rPr>
          <w:b/>
          <w:i/>
          <w:lang w:val="en-US"/>
        </w:rPr>
        <w:t>Energies</w:t>
      </w:r>
      <w:r w:rsidRPr="007A27F3">
        <w:rPr>
          <w:b/>
          <w:lang w:val="en-US"/>
        </w:rPr>
        <w:t>, Section A1 — Smart Grids and Microgrids.</w:t>
      </w:r>
    </w:p>
    <w:p w14:paraId="769548E2" w14:textId="77777777" w:rsidR="00454E9A" w:rsidRPr="007A27F3" w:rsidRDefault="00000000">
      <w:pPr>
        <w:ind w:left="6"/>
        <w:rPr>
          <w:lang w:val="en-US"/>
        </w:rPr>
      </w:pPr>
      <w:r w:rsidRPr="007A27F3">
        <w:rPr>
          <w:lang w:val="en-US"/>
        </w:rPr>
        <w:t>Dear Editor,</w:t>
      </w:r>
    </w:p>
    <w:p w14:paraId="581A0D59" w14:textId="77777777" w:rsidR="00454E9A" w:rsidRPr="007A27F3" w:rsidRDefault="00000000">
      <w:pPr>
        <w:ind w:left="6"/>
        <w:rPr>
          <w:lang w:val="en-US"/>
        </w:rPr>
      </w:pPr>
      <w:r w:rsidRPr="007A27F3">
        <w:rPr>
          <w:lang w:val="en-US"/>
        </w:rPr>
        <w:t xml:space="preserve">We are pleased to submit the enclosed manuscript for consideration as an </w:t>
      </w:r>
      <w:r w:rsidRPr="007A27F3">
        <w:rPr>
          <w:b/>
          <w:lang w:val="en-US"/>
        </w:rPr>
        <w:t xml:space="preserve">original research article </w:t>
      </w:r>
      <w:r w:rsidRPr="007A27F3">
        <w:rPr>
          <w:lang w:val="en-US"/>
        </w:rPr>
        <w:t xml:space="preserve">in </w:t>
      </w:r>
      <w:r w:rsidRPr="007A27F3">
        <w:rPr>
          <w:i/>
          <w:lang w:val="en-US"/>
        </w:rPr>
        <w:t>Energies</w:t>
      </w:r>
      <w:r w:rsidRPr="007A27F3">
        <w:rPr>
          <w:lang w:val="en-US"/>
        </w:rPr>
        <w:t xml:space="preserve">, targeted at </w:t>
      </w:r>
      <w:r w:rsidRPr="007A27F3">
        <w:rPr>
          <w:b/>
          <w:lang w:val="en-US"/>
        </w:rPr>
        <w:t>Section A1 — Smart Grids and Microgrids</w:t>
      </w:r>
      <w:r w:rsidRPr="007A27F3">
        <w:rPr>
          <w:lang w:val="en-US"/>
        </w:rPr>
        <w:t>.</w:t>
      </w:r>
    </w:p>
    <w:p w14:paraId="7A7EE3EC" w14:textId="77777777" w:rsidR="00454E9A" w:rsidRDefault="00000000">
      <w:pPr>
        <w:spacing w:after="135" w:line="258" w:lineRule="auto"/>
        <w:ind w:left="-4" w:hanging="7"/>
        <w:jc w:val="left"/>
      </w:pPr>
      <w:r w:rsidRPr="007A27F3">
        <w:rPr>
          <w:lang w:val="en-US"/>
        </w:rPr>
        <w:t xml:space="preserve">The paper presents an end-to-end edge-to-cloud telemetry architecture for a multi-vector renewable energy “learning factory” — the KIOZE Edu-Bad facility. </w:t>
      </w:r>
      <w:proofErr w:type="spellStart"/>
      <w:r>
        <w:t>Specifically</w:t>
      </w:r>
      <w:proofErr w:type="spellEnd"/>
      <w:r>
        <w:t xml:space="preserve">, the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contributes</w:t>
      </w:r>
      <w:proofErr w:type="spellEnd"/>
      <w:r>
        <w:t>:</w:t>
      </w:r>
    </w:p>
    <w:p w14:paraId="70FAD7B5" w14:textId="77777777" w:rsidR="00454E9A" w:rsidRPr="007A27F3" w:rsidRDefault="00000000">
      <w:pPr>
        <w:numPr>
          <w:ilvl w:val="0"/>
          <w:numId w:val="1"/>
        </w:numPr>
        <w:spacing w:after="6"/>
        <w:ind w:left="548" w:hanging="309"/>
        <w:rPr>
          <w:lang w:val="en-US"/>
        </w:rPr>
      </w:pPr>
      <w:proofErr w:type="spellStart"/>
      <w:r w:rsidRPr="007A27F3">
        <w:rPr>
          <w:lang w:val="en-US"/>
        </w:rPr>
        <w:t>Areferencearchitecturecombiningthe</w:t>
      </w:r>
      <w:r w:rsidRPr="007A27F3">
        <w:rPr>
          <w:b/>
          <w:lang w:val="en-US"/>
        </w:rPr>
        <w:t>MINGstack</w:t>
      </w:r>
      <w:proofErr w:type="spellEnd"/>
      <w:r w:rsidRPr="007A27F3">
        <w:rPr>
          <w:b/>
          <w:lang w:val="en-US"/>
        </w:rPr>
        <w:t xml:space="preserve"> </w:t>
      </w:r>
      <w:r w:rsidRPr="007A27F3">
        <w:rPr>
          <w:lang w:val="en-US"/>
        </w:rPr>
        <w:t>(</w:t>
      </w:r>
      <w:proofErr w:type="spellStart"/>
      <w:r w:rsidRPr="007A27F3">
        <w:rPr>
          <w:lang w:val="en-US"/>
        </w:rPr>
        <w:t>Mosquitto</w:t>
      </w:r>
      <w:proofErr w:type="spellEnd"/>
      <w:r w:rsidRPr="007A27F3">
        <w:rPr>
          <w:lang w:val="en-US"/>
        </w:rPr>
        <w:t xml:space="preserve">, </w:t>
      </w:r>
      <w:proofErr w:type="spellStart"/>
      <w:proofErr w:type="gramStart"/>
      <w:r w:rsidRPr="007A27F3">
        <w:rPr>
          <w:lang w:val="en-US"/>
        </w:rPr>
        <w:t>InfluxDB,Node</w:t>
      </w:r>
      <w:proofErr w:type="spellEnd"/>
      <w:proofErr w:type="gramEnd"/>
      <w:r w:rsidRPr="007A27F3">
        <w:rPr>
          <w:lang w:val="en-US"/>
        </w:rPr>
        <w:t xml:space="preserve">-RED, Grafana) with a React-based operator dashboard, designed to replace legacy </w:t>
      </w:r>
      <w:proofErr w:type="spellStart"/>
      <w:r w:rsidRPr="007A27F3">
        <w:rPr>
          <w:lang w:val="en-US"/>
        </w:rPr>
        <w:t>SCADAstyle</w:t>
      </w:r>
      <w:proofErr w:type="spellEnd"/>
      <w:r w:rsidRPr="007A27F3">
        <w:rPr>
          <w:lang w:val="en-US"/>
        </w:rPr>
        <w:t xml:space="preserve"> data plumbing in research and educational microgrids.</w:t>
      </w:r>
    </w:p>
    <w:p w14:paraId="62322813" w14:textId="77777777" w:rsidR="00454E9A" w:rsidRPr="007A27F3" w:rsidRDefault="00000000">
      <w:pPr>
        <w:numPr>
          <w:ilvl w:val="0"/>
          <w:numId w:val="1"/>
        </w:numPr>
        <w:spacing w:after="6"/>
        <w:ind w:left="548" w:hanging="309"/>
        <w:rPr>
          <w:lang w:val="en-US"/>
        </w:rPr>
      </w:pPr>
      <w:r w:rsidRPr="007A27F3">
        <w:rPr>
          <w:lang w:val="en-US"/>
        </w:rPr>
        <w:t xml:space="preserve">A </w:t>
      </w:r>
      <w:r w:rsidRPr="007A27F3">
        <w:rPr>
          <w:b/>
          <w:lang w:val="en-US"/>
        </w:rPr>
        <w:t xml:space="preserve">canonical data model </w:t>
      </w:r>
      <w:r w:rsidRPr="007A27F3">
        <w:rPr>
          <w:lang w:val="en-US"/>
        </w:rPr>
        <w:t xml:space="preserve">that </w:t>
      </w:r>
      <w:proofErr w:type="spellStart"/>
      <w:r w:rsidRPr="007A27F3">
        <w:rPr>
          <w:lang w:val="en-US"/>
        </w:rPr>
        <w:t>normalises</w:t>
      </w:r>
      <w:proofErr w:type="spellEnd"/>
      <w:r w:rsidRPr="007A27F3">
        <w:rPr>
          <w:lang w:val="en-US"/>
        </w:rPr>
        <w:t xml:space="preserve"> heterogeneous sensor and converter streams (PV, wind, </w:t>
      </w:r>
      <w:proofErr w:type="spellStart"/>
      <w:r w:rsidRPr="007A27F3">
        <w:rPr>
          <w:lang w:val="en-US"/>
        </w:rPr>
        <w:t>electrolyser</w:t>
      </w:r>
      <w:proofErr w:type="spellEnd"/>
      <w:r w:rsidRPr="007A27F3">
        <w:rPr>
          <w:lang w:val="en-US"/>
        </w:rPr>
        <w:t>, battery, thermal) at the edge, enabling cross-vector analytics and downstream digital-twin / AI use.</w:t>
      </w:r>
    </w:p>
    <w:p w14:paraId="39383B57" w14:textId="77777777" w:rsidR="00454E9A" w:rsidRPr="007A27F3" w:rsidRDefault="00000000">
      <w:pPr>
        <w:numPr>
          <w:ilvl w:val="0"/>
          <w:numId w:val="1"/>
        </w:numPr>
        <w:spacing w:after="135" w:line="258" w:lineRule="auto"/>
        <w:ind w:left="548" w:hanging="309"/>
        <w:rPr>
          <w:lang w:val="en-US"/>
        </w:rPr>
      </w:pPr>
      <w:r w:rsidRPr="007A27F3">
        <w:rPr>
          <w:lang w:val="en-US"/>
        </w:rPr>
        <w:t xml:space="preserve">A </w:t>
      </w:r>
      <w:r w:rsidRPr="007A27F3">
        <w:rPr>
          <w:b/>
          <w:lang w:val="en-US"/>
        </w:rPr>
        <w:t>reproducibility-oriented design</w:t>
      </w:r>
      <w:r w:rsidRPr="007A27F3">
        <w:rPr>
          <w:lang w:val="en-US"/>
        </w:rPr>
        <w:t>: every architectural claim is traceable to a published specification artefact, and the entire telemetry stack is built from open-source components.</w:t>
      </w:r>
    </w:p>
    <w:p w14:paraId="3D495BA9" w14:textId="77777777" w:rsidR="00454E9A" w:rsidRPr="007A27F3" w:rsidRDefault="00000000">
      <w:pPr>
        <w:ind w:left="6"/>
        <w:rPr>
          <w:lang w:val="en-US"/>
        </w:rPr>
      </w:pPr>
      <w:r w:rsidRPr="007A27F3">
        <w:rPr>
          <w:lang w:val="en-US"/>
        </w:rPr>
        <w:t xml:space="preserve">The work fits Section A1’s explicit scope of “Multi-Energy Microgrids,” “ICT Applications,” and “Big Data, Cloud Computing, IoT Applications for Smart Grids.” It addresses the </w:t>
      </w:r>
      <w:proofErr w:type="spellStart"/>
      <w:proofErr w:type="gramStart"/>
      <w:r w:rsidRPr="007A27F3">
        <w:rPr>
          <w:lang w:val="en-US"/>
        </w:rPr>
        <w:t>welldocumented</w:t>
      </w:r>
      <w:proofErr w:type="spellEnd"/>
      <w:proofErr w:type="gramEnd"/>
      <w:r w:rsidRPr="007A27F3">
        <w:rPr>
          <w:lang w:val="en-US"/>
        </w:rPr>
        <w:t xml:space="preserve"> gap in scalable, vendor-neutral data architectures for the next generation of multi-vector smart grids.</w:t>
      </w:r>
    </w:p>
    <w:p w14:paraId="424E412E" w14:textId="77777777" w:rsidR="00454E9A" w:rsidRPr="007A27F3" w:rsidRDefault="00000000">
      <w:pPr>
        <w:ind w:left="6"/>
        <w:rPr>
          <w:lang w:val="en-US"/>
        </w:rPr>
      </w:pPr>
      <w:r w:rsidRPr="007A27F3">
        <w:rPr>
          <w:lang w:val="en-US"/>
        </w:rPr>
        <w:t xml:space="preserve">Most prior open-source telemetry pipelines for renewable-energy systems address a narrow vector scope — a single energy cyber-physical system (Saad et al., 2020) or PV plus battery storage (Silva et al., </w:t>
      </w:r>
      <w:proofErr w:type="gramStart"/>
      <w:r w:rsidRPr="007A27F3">
        <w:rPr>
          <w:lang w:val="en-US"/>
        </w:rPr>
        <w:t>2022) —</w:t>
      </w:r>
      <w:proofErr w:type="gramEnd"/>
      <w:r w:rsidRPr="007A27F3">
        <w:rPr>
          <w:lang w:val="en-US"/>
        </w:rPr>
        <w:t xml:space="preserve"> and the few framework-level proposals for energy IoT data management (Dhungana et al., 2025) stop short of a reproducible end-to-end implementation. This work contributes the first </w:t>
      </w:r>
      <w:proofErr w:type="spellStart"/>
      <w:r w:rsidRPr="007A27F3">
        <w:rPr>
          <w:lang w:val="en-US"/>
        </w:rPr>
        <w:t>MING+React</w:t>
      </w:r>
      <w:proofErr w:type="spellEnd"/>
      <w:r w:rsidRPr="007A27F3">
        <w:rPr>
          <w:lang w:val="en-US"/>
        </w:rPr>
        <w:t xml:space="preserve"> reference architecture spanning a fully multi-vector microgrid (PV, wind, </w:t>
      </w:r>
      <w:proofErr w:type="spellStart"/>
      <w:r w:rsidRPr="007A27F3">
        <w:rPr>
          <w:lang w:val="en-US"/>
        </w:rPr>
        <w:t>electrolyser</w:t>
      </w:r>
      <w:proofErr w:type="spellEnd"/>
      <w:r w:rsidRPr="007A27F3">
        <w:rPr>
          <w:lang w:val="en-US"/>
        </w:rPr>
        <w:t xml:space="preserve">, battery, thermal) and introduces an edge-side canonical data model that </w:t>
      </w:r>
      <w:proofErr w:type="spellStart"/>
      <w:r w:rsidRPr="007A27F3">
        <w:rPr>
          <w:lang w:val="en-US"/>
        </w:rPr>
        <w:t>normalises</w:t>
      </w:r>
      <w:proofErr w:type="spellEnd"/>
      <w:r w:rsidRPr="007A27F3">
        <w:rPr>
          <w:lang w:val="en-US"/>
        </w:rPr>
        <w:t xml:space="preserve"> heterogeneous device streams before storage rather than at query time.</w:t>
      </w:r>
    </w:p>
    <w:p w14:paraId="4F2752EF" w14:textId="77777777" w:rsidR="00454E9A" w:rsidRPr="007A27F3" w:rsidRDefault="00000000">
      <w:pPr>
        <w:ind w:left="6"/>
        <w:rPr>
          <w:lang w:val="en-US"/>
        </w:rPr>
      </w:pPr>
      <w:r w:rsidRPr="007A27F3">
        <w:rPr>
          <w:lang w:val="en-US"/>
        </w:rPr>
        <w:t xml:space="preserve">We believe this contribution will be of interest to the </w:t>
      </w:r>
      <w:r w:rsidRPr="007A27F3">
        <w:rPr>
          <w:i/>
          <w:lang w:val="en-US"/>
        </w:rPr>
        <w:t xml:space="preserve">Energies </w:t>
      </w:r>
      <w:r w:rsidRPr="007A27F3">
        <w:rPr>
          <w:lang w:val="en-US"/>
        </w:rPr>
        <w:t xml:space="preserve">readership working on </w:t>
      </w:r>
      <w:proofErr w:type="spellStart"/>
      <w:r w:rsidRPr="007A27F3">
        <w:rPr>
          <w:lang w:val="en-US"/>
        </w:rPr>
        <w:t>smartgrid</w:t>
      </w:r>
      <w:proofErr w:type="spellEnd"/>
      <w:r w:rsidRPr="007A27F3">
        <w:rPr>
          <w:lang w:val="en-US"/>
        </w:rPr>
        <w:t xml:space="preserve"> ICT, multi-energy system integration, and educational/research microgrid platforms.</w:t>
      </w:r>
    </w:p>
    <w:p w14:paraId="32A570C5" w14:textId="77777777" w:rsidR="00454E9A" w:rsidRDefault="00000000">
      <w:pPr>
        <w:spacing w:after="135" w:line="258" w:lineRule="auto"/>
        <w:ind w:left="6" w:right="22"/>
      </w:pPr>
      <w:proofErr w:type="spellStart"/>
      <w:r>
        <w:rPr>
          <w:b/>
        </w:rPr>
        <w:t>Required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statements</w:t>
      </w:r>
      <w:proofErr w:type="spellEnd"/>
      <w:r>
        <w:rPr>
          <w:b/>
        </w:rPr>
        <w:t>.</w:t>
      </w:r>
    </w:p>
    <w:p w14:paraId="0FE3F628" w14:textId="77777777" w:rsidR="00454E9A" w:rsidRPr="007A27F3" w:rsidRDefault="00000000">
      <w:pPr>
        <w:numPr>
          <w:ilvl w:val="0"/>
          <w:numId w:val="2"/>
        </w:numPr>
        <w:spacing w:after="6"/>
        <w:ind w:right="11" w:hanging="230"/>
        <w:rPr>
          <w:lang w:val="en-US"/>
        </w:rPr>
      </w:pPr>
      <w:r w:rsidRPr="007A27F3">
        <w:rPr>
          <w:lang w:val="en-US"/>
        </w:rPr>
        <w:t>We confirm that neither the manuscript nor any parts of its content are currently under consideration for publication with or published in another journal.</w:t>
      </w:r>
    </w:p>
    <w:p w14:paraId="37672609" w14:textId="77777777" w:rsidR="00454E9A" w:rsidRPr="007A27F3" w:rsidRDefault="00000000">
      <w:pPr>
        <w:numPr>
          <w:ilvl w:val="0"/>
          <w:numId w:val="2"/>
        </w:numPr>
        <w:spacing w:after="818" w:line="259" w:lineRule="auto"/>
        <w:ind w:right="11" w:hanging="230"/>
        <w:rPr>
          <w:lang w:val="en-US"/>
        </w:rPr>
      </w:pPr>
      <w:r w:rsidRPr="007A27F3">
        <w:rPr>
          <w:lang w:val="en-US"/>
        </w:rPr>
        <w:t xml:space="preserve">All authors have approved the manuscript and agree with its submission to </w:t>
      </w:r>
      <w:r w:rsidRPr="007A27F3">
        <w:rPr>
          <w:i/>
          <w:lang w:val="en-US"/>
        </w:rPr>
        <w:t>Energies</w:t>
      </w:r>
      <w:r w:rsidRPr="007A27F3">
        <w:rPr>
          <w:lang w:val="en-US"/>
        </w:rPr>
        <w:t>.</w:t>
      </w:r>
    </w:p>
    <w:p w14:paraId="0CED344D" w14:textId="77777777" w:rsidR="00454E9A" w:rsidRPr="007A27F3" w:rsidRDefault="00000000">
      <w:pPr>
        <w:ind w:left="6"/>
        <w:rPr>
          <w:lang w:val="en-US"/>
        </w:rPr>
      </w:pPr>
      <w:r w:rsidRPr="007A27F3">
        <w:rPr>
          <w:lang w:val="en-US"/>
        </w:rPr>
        <w:t>The corresponding author for this submission is Viktar Taustyka (on behalf of all authors) viktar.taustyka@zut.edu.pl, 0000-0002-0567-267X.</w:t>
      </w:r>
    </w:p>
    <w:p w14:paraId="02FC3742" w14:textId="77777777" w:rsidR="00454E9A" w:rsidRPr="007A27F3" w:rsidRDefault="00000000">
      <w:pPr>
        <w:ind w:left="6"/>
        <w:rPr>
          <w:lang w:val="en-US"/>
        </w:rPr>
      </w:pPr>
      <w:r w:rsidRPr="007A27F3">
        <w:rPr>
          <w:lang w:val="en-US"/>
        </w:rPr>
        <w:t>We look forward to your editorial decision.</w:t>
      </w:r>
    </w:p>
    <w:p w14:paraId="20E084D1" w14:textId="77777777" w:rsidR="00454E9A" w:rsidRPr="007A27F3" w:rsidRDefault="00000000">
      <w:pPr>
        <w:ind w:left="6"/>
        <w:rPr>
          <w:lang w:val="en-US"/>
        </w:rPr>
      </w:pPr>
      <w:r w:rsidRPr="007A27F3">
        <w:rPr>
          <w:lang w:val="en-US"/>
        </w:rPr>
        <w:t>Sincerely,</w:t>
      </w:r>
    </w:p>
    <w:p w14:paraId="14C3FCDB" w14:textId="1F14D3CD" w:rsidR="00454E9A" w:rsidRPr="007A27F3" w:rsidRDefault="00000000" w:rsidP="007A27F3">
      <w:pPr>
        <w:spacing w:after="12183"/>
        <w:ind w:left="6"/>
        <w:rPr>
          <w:lang w:val="en-US"/>
        </w:rPr>
      </w:pPr>
      <w:r w:rsidRPr="007A27F3">
        <w:rPr>
          <w:lang w:val="en-US"/>
        </w:rPr>
        <w:t>Viktar Taustyka On behalf of all authors</w:t>
      </w:r>
    </w:p>
    <w:sectPr w:rsidR="00454E9A" w:rsidRPr="007A27F3">
      <w:pgSz w:w="12240" w:h="15840"/>
      <w:pgMar w:top="1135" w:right="1097" w:bottom="485" w:left="1123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13B02"/>
    <w:multiLevelType w:val="hybridMultilevel"/>
    <w:tmpl w:val="88A82D0E"/>
    <w:lvl w:ilvl="0" w:tplc="FBCEAC00">
      <w:start w:val="1"/>
      <w:numFmt w:val="decimal"/>
      <w:lvlText w:val="%1."/>
      <w:lvlJc w:val="left"/>
      <w:pPr>
        <w:ind w:left="5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EE58D6">
      <w:start w:val="1"/>
      <w:numFmt w:val="lowerLetter"/>
      <w:lvlText w:val="%2"/>
      <w:lvlJc w:val="left"/>
      <w:pPr>
        <w:ind w:left="1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F10CA42">
      <w:start w:val="1"/>
      <w:numFmt w:val="lowerRoman"/>
      <w:lvlText w:val="%3"/>
      <w:lvlJc w:val="left"/>
      <w:pPr>
        <w:ind w:left="20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D5C6892">
      <w:start w:val="1"/>
      <w:numFmt w:val="decimal"/>
      <w:lvlText w:val="%4"/>
      <w:lvlJc w:val="left"/>
      <w:pPr>
        <w:ind w:left="27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5C0D240">
      <w:start w:val="1"/>
      <w:numFmt w:val="lowerLetter"/>
      <w:lvlText w:val="%5"/>
      <w:lvlJc w:val="left"/>
      <w:pPr>
        <w:ind w:left="34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BE9B0E">
      <w:start w:val="1"/>
      <w:numFmt w:val="lowerRoman"/>
      <w:lvlText w:val="%6"/>
      <w:lvlJc w:val="left"/>
      <w:pPr>
        <w:ind w:left="41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A78E890">
      <w:start w:val="1"/>
      <w:numFmt w:val="decimal"/>
      <w:lvlText w:val="%7"/>
      <w:lvlJc w:val="left"/>
      <w:pPr>
        <w:ind w:left="49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34672A">
      <w:start w:val="1"/>
      <w:numFmt w:val="lowerLetter"/>
      <w:lvlText w:val="%8"/>
      <w:lvlJc w:val="left"/>
      <w:pPr>
        <w:ind w:left="56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1B80136">
      <w:start w:val="1"/>
      <w:numFmt w:val="lowerRoman"/>
      <w:lvlText w:val="%9"/>
      <w:lvlJc w:val="left"/>
      <w:pPr>
        <w:ind w:left="63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1E765E"/>
    <w:multiLevelType w:val="hybridMultilevel"/>
    <w:tmpl w:val="7FA2EB9E"/>
    <w:lvl w:ilvl="0" w:tplc="A61E57F0">
      <w:start w:val="1"/>
      <w:numFmt w:val="bullet"/>
      <w:lvlText w:val="•"/>
      <w:lvlJc w:val="left"/>
      <w:pPr>
        <w:ind w:left="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1623622">
      <w:start w:val="1"/>
      <w:numFmt w:val="bullet"/>
      <w:lvlText w:val="o"/>
      <w:lvlJc w:val="left"/>
      <w:pPr>
        <w:ind w:left="13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B4814B8">
      <w:start w:val="1"/>
      <w:numFmt w:val="bullet"/>
      <w:lvlText w:val="▪"/>
      <w:lvlJc w:val="left"/>
      <w:pPr>
        <w:ind w:left="21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4AE70D6">
      <w:start w:val="1"/>
      <w:numFmt w:val="bullet"/>
      <w:lvlText w:val="•"/>
      <w:lvlJc w:val="left"/>
      <w:pPr>
        <w:ind w:left="28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5CE41A4">
      <w:start w:val="1"/>
      <w:numFmt w:val="bullet"/>
      <w:lvlText w:val="o"/>
      <w:lvlJc w:val="left"/>
      <w:pPr>
        <w:ind w:left="35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F62F102">
      <w:start w:val="1"/>
      <w:numFmt w:val="bullet"/>
      <w:lvlText w:val="▪"/>
      <w:lvlJc w:val="left"/>
      <w:pPr>
        <w:ind w:left="4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CC4BC7C">
      <w:start w:val="1"/>
      <w:numFmt w:val="bullet"/>
      <w:lvlText w:val="•"/>
      <w:lvlJc w:val="left"/>
      <w:pPr>
        <w:ind w:left="4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8E1368">
      <w:start w:val="1"/>
      <w:numFmt w:val="bullet"/>
      <w:lvlText w:val="o"/>
      <w:lvlJc w:val="left"/>
      <w:pPr>
        <w:ind w:left="5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EC8FB44">
      <w:start w:val="1"/>
      <w:numFmt w:val="bullet"/>
      <w:lvlText w:val="▪"/>
      <w:lvlJc w:val="left"/>
      <w:pPr>
        <w:ind w:left="6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49507582">
    <w:abstractNumId w:val="0"/>
  </w:num>
  <w:num w:numId="2" w16cid:durableId="1006136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E9A"/>
    <w:rsid w:val="00454E9A"/>
    <w:rsid w:val="005126CF"/>
    <w:rsid w:val="007A2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3CF97"/>
  <w15:docId w15:val="{C73F10AD-6A8F-4421-A7CE-CC19496D7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pacing w:after="130" w:line="264" w:lineRule="auto"/>
      <w:ind w:left="32" w:hanging="1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393</Words>
  <Characters>2539</Characters>
  <Application>Microsoft Office Word</Application>
  <DocSecurity>0</DocSecurity>
  <Lines>40</Lines>
  <Paragraphs>25</Paragraphs>
  <ScaleCrop>false</ScaleCrop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Viktar Taustyka</dc:creator>
  <cp:keywords/>
  <cp:lastModifiedBy>Viktar Taustyka</cp:lastModifiedBy>
  <cp:revision>2</cp:revision>
  <dcterms:created xsi:type="dcterms:W3CDTF">2026-05-28T07:43:00Z</dcterms:created>
  <dcterms:modified xsi:type="dcterms:W3CDTF">2026-05-28T07:43:00Z</dcterms:modified>
</cp:coreProperties>
</file>