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1470DE66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02BEEAD0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lastRenderedPageBreak/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44BD2592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p w14:paraId="6A250882" w14:textId="12C1CC3A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23" w:name="_Hlk124751731"/>
      <w:bookmarkEnd w:id="21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77777777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77777777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64EA79E5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6D03EF80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77777777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lastRenderedPageBreak/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77777777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77777777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77777777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lastRenderedPageBreak/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t xml:space="preserve">23.03.1844 – крестная мать Евдокии, дочери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Игната Парфеньева и Евдокии Петровой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106E5A"/>
    <w:rsid w:val="00174352"/>
    <w:rsid w:val="001A3EF1"/>
    <w:rsid w:val="002833CA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E16AD"/>
    <w:rsid w:val="008E5333"/>
    <w:rsid w:val="00920F58"/>
    <w:rsid w:val="00967BE9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E2B41"/>
    <w:rsid w:val="00EF4659"/>
    <w:rsid w:val="00F82DA8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2913</Words>
  <Characters>16607</Characters>
  <Application>Microsoft Office Word</Application>
  <DocSecurity>0</DocSecurity>
  <Lines>138</Lines>
  <Paragraphs>38</Paragraphs>
  <ScaleCrop>false</ScaleCrop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51</cp:revision>
  <dcterms:created xsi:type="dcterms:W3CDTF">2023-02-23T01:14:00Z</dcterms:created>
  <dcterms:modified xsi:type="dcterms:W3CDTF">2024-01-29T11:57:00Z</dcterms:modified>
</cp:coreProperties>
</file>