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center"/>
        <w:rPr>
          <w:b/>
          <w:bCs/>
          <w:sz w:val="48"/>
          <w:szCs w:val="48"/>
        </w:rPr>
      </w:pPr>
      <w:r>
        <w:rPr>
          <w:rFonts w:ascii="Google Sans;sans-serif" w:hAnsi="Google Sans;sans-serif"/>
          <w:b/>
          <w:bCs/>
          <w:sz w:val="28"/>
          <w:szCs w:val="28"/>
        </w:rPr>
        <w:t>Executive Cybersecurity Gap Analysis &amp; Framework Assessment</w:t>
      </w:r>
    </w:p>
    <w:p>
      <w:pPr>
        <w:pStyle w:val="BodyText"/>
        <w:spacing w:lineRule="auto" w:line="273" w:before="0" w:after="140"/>
        <w:ind w:hanging="0" w:left="0" w:right="0"/>
        <w:rPr>
          <w:rFonts w:ascii="Google Sans Text;sans-serif" w:hAnsi="Google Sans Text;sans-serif"/>
        </w:rPr>
      </w:pPr>
      <w:r>
        <w:rPr>
          <w:rFonts w:ascii="Google Sans Text;sans-serif" w:hAnsi="Google Sans Text;sans-serif"/>
          <w:b/>
        </w:rPr>
        <w:t>Client:</w:t>
      </w:r>
      <w:r>
        <w:rPr>
          <w:rFonts w:ascii="Google Sans Text;sans-serif" w:hAnsi="Google Sans Text;sans-serif"/>
        </w:rPr>
        <w:t xml:space="preserve"> BlackSea E-Com Fulfillment (BEF)</w:t>
      </w:r>
    </w:p>
    <w:p>
      <w:pPr>
        <w:pStyle w:val="BodyText"/>
        <w:spacing w:lineRule="auto" w:line="273" w:before="0" w:after="140"/>
        <w:ind w:hanging="0" w:left="0" w:right="0"/>
        <w:rPr>
          <w:rFonts w:ascii="Google Sans Text;sans-serif" w:hAnsi="Google Sans Text;sans-serif"/>
        </w:rPr>
      </w:pPr>
      <w:r>
        <w:rPr>
          <w:rFonts w:ascii="Google Sans Text;sans-serif" w:hAnsi="Google Sans Text;sans-serif"/>
          <w:b/>
        </w:rPr>
        <w:t>Prepared By:</w:t>
      </w:r>
      <w:r>
        <w:rPr>
          <w:rFonts w:ascii="Google Sans Text;sans-serif" w:hAnsi="Google Sans Text;sans-serif"/>
        </w:rPr>
        <w:t xml:space="preserve"> GRC Security Analyst</w:t>
      </w:r>
    </w:p>
    <w:p>
      <w:pPr>
        <w:pStyle w:val="BodyText"/>
        <w:spacing w:lineRule="auto" w:line="273" w:before="0" w:after="140"/>
        <w:ind w:hanging="0" w:left="0" w:right="0"/>
        <w:rPr>
          <w:rFonts w:ascii="Google Sans Text;sans-serif" w:hAnsi="Google Sans Text;sans-serif"/>
        </w:rPr>
      </w:pPr>
      <w:r>
        <w:rPr>
          <w:rFonts w:ascii="Google Sans Text;sans-serif" w:hAnsi="Google Sans Text;sans-serif"/>
          <w:b/>
        </w:rPr>
        <w:t>Framework Benchmark:</w:t>
      </w:r>
      <w:r>
        <w:rPr>
          <w:rFonts w:ascii="Google Sans Text;sans-serif" w:hAnsi="Google Sans Text;sans-serif"/>
        </w:rPr>
        <w:t xml:space="preserve"> NIST Cybersecurity Framework (CSF) 2.0</w:t>
      </w:r>
    </w:p>
    <w:p>
      <w:pPr>
        <w:pStyle w:val="BodyText"/>
        <w:spacing w:lineRule="auto" w:line="273" w:before="0" w:after="140"/>
        <w:ind w:hanging="0" w:left="0" w:right="0"/>
        <w:rPr>
          <w:rFonts w:ascii="Google Sans Text;sans-serif" w:hAnsi="Google Sans Text;sans-serif"/>
        </w:rPr>
      </w:pPr>
      <w:r>
        <w:rPr>
          <w:rFonts w:ascii="Google Sans Text;sans-serif" w:hAnsi="Google Sans Text;sans-serif"/>
          <w:b/>
        </w:rPr>
        <w:t>Date:</w:t>
      </w:r>
      <w:r>
        <w:rPr>
          <w:rFonts w:ascii="Google Sans Text;sans-serif" w:hAnsi="Google Sans Text;sans-serif"/>
        </w:rPr>
        <w:t xml:space="preserve"> July 2, 2026</w:t>
      </w:r>
    </w:p>
    <w:p>
      <w:pPr>
        <w:pStyle w:val="Heading3"/>
        <w:spacing w:lineRule="auto" w:line="273" w:before="0" w:after="140"/>
        <w:ind w:hanging="0" w:left="0" w:right="0"/>
        <w:rPr>
          <w:rFonts w:ascii="Google Sans;sans-serif" w:hAnsi="Google Sans;sans-serif"/>
        </w:rPr>
      </w:pPr>
      <w:r>
        <w:rPr>
          <w:rFonts w:ascii="Google Sans;sans-serif" w:hAnsi="Google Sans;sans-serif"/>
        </w:rPr>
        <w:t>1. Executive Summary</w:t>
      </w:r>
    </w:p>
    <w:p>
      <w:pPr>
        <w:pStyle w:val="BodyText"/>
        <w:spacing w:lineRule="auto" w:line="273" w:before="0" w:after="140"/>
        <w:ind w:hanging="0" w:left="0" w:right="0"/>
        <w:rPr>
          <w:rFonts w:ascii="Google Sans Text;sans-serif" w:hAnsi="Google Sans Text;sans-serif"/>
        </w:rPr>
      </w:pPr>
      <w:r>
        <w:rPr>
          <w:rFonts w:ascii="Google Sans Text;sans-serif" w:hAnsi="Google Sans Text;sans-serif"/>
        </w:rPr>
        <w:t>The purpose of this comprehensive security audit is to evaluate the current defensive posture of BlackSea E-Com Fulfillment (BEF), identify critical structural vulnerabilities, and chart a definitive path toward a secure target operating profile.</w:t>
      </w:r>
    </w:p>
    <w:p>
      <w:pPr>
        <w:pStyle w:val="BodyText"/>
        <w:spacing w:lineRule="auto" w:line="273" w:before="0" w:after="140"/>
        <w:ind w:hanging="0" w:left="0" w:right="0"/>
        <w:rPr>
          <w:rFonts w:ascii="Google Sans Text;sans-serif" w:hAnsi="Google Sans Text;sans-serif"/>
        </w:rPr>
      </w:pPr>
      <w:r>
        <w:rPr>
          <w:rFonts w:ascii="Google Sans Text;sans-serif" w:hAnsi="Google Sans Text;sans-serif"/>
        </w:rPr>
        <w:t xml:space="preserve">The baseline assessment reveals that BEF currently operates at a low cybersecurity maturity level, exhibiting systemic deficiencies across all core infrastructure layers that directly threaten the </w:t>
      </w:r>
      <w:r>
        <w:rPr>
          <w:rFonts w:ascii="Google Sans Text;sans-serif" w:hAnsi="Google Sans Text;sans-serif"/>
          <w:b/>
        </w:rPr>
        <w:t>Confidentiality, Integrity, and Availability (CIA)</w:t>
      </w:r>
      <w:r>
        <w:rPr>
          <w:rFonts w:ascii="Google Sans Text;sans-serif" w:hAnsi="Google Sans Text;sans-serif"/>
        </w:rPr>
        <w:t xml:space="preserve"> of enterprise data. Multiple critical gaps were identified—ranging from unmonitored physical servers to systemic credential sharing—which expose the organization to catastrophic operational disruption and severe legal liability regarding compromised customer data. Implementing the remediation steps outlined in this report is imperative to bring the organization into alignment with the NIST CSF 2.0 framework and safeguard business continuity.</w:t>
      </w:r>
    </w:p>
    <w:p>
      <w:pPr>
        <w:pStyle w:val="Heading3"/>
        <w:spacing w:lineRule="auto" w:line="273" w:before="0" w:after="140"/>
        <w:ind w:hanging="0" w:left="0" w:right="0"/>
        <w:rPr>
          <w:rFonts w:ascii="Google Sans;sans-serif" w:hAnsi="Google Sans;sans-serif"/>
        </w:rPr>
      </w:pPr>
      <w:r>
        <w:rPr>
          <w:rFonts w:ascii="Google Sans;sans-serif" w:hAnsi="Google Sans;sans-serif"/>
        </w:rPr>
        <w:t>2. Scope of Assessment</w:t>
      </w:r>
    </w:p>
    <w:p>
      <w:pPr>
        <w:pStyle w:val="BodyText"/>
        <w:spacing w:lineRule="auto" w:line="273" w:before="0" w:after="140"/>
        <w:ind w:hanging="0" w:left="0" w:right="0"/>
        <w:rPr>
          <w:rFonts w:ascii="Google Sans Text;sans-serif" w:hAnsi="Google Sans Text;sans-serif"/>
        </w:rPr>
      </w:pPr>
      <w:r>
        <w:rPr>
          <w:rFonts w:ascii="Google Sans Text;sans-serif" w:hAnsi="Google Sans Text;sans-serif"/>
        </w:rPr>
        <w:t>The audit involved a deep-dive technical and operational review spanning the following corporate assets, infrastructure vectors, and business workflows:</w:t>
      </w:r>
    </w:p>
    <w:p>
      <w:pPr>
        <w:pStyle w:val="BodyText"/>
        <w:numPr>
          <w:ilvl w:val="0"/>
          <w:numId w:val="1"/>
        </w:numPr>
        <w:pBdr/>
        <w:tabs>
          <w:tab w:val="clear" w:pos="709"/>
          <w:tab w:val="left" w:pos="0" w:leader="none"/>
        </w:tabs>
        <w:spacing w:lineRule="auto" w:line="273" w:before="0" w:after="140"/>
        <w:ind w:hanging="283" w:left="709" w:right="0"/>
        <w:rPr>
          <w:rFonts w:ascii="Google Sans Text;sans-serif" w:hAnsi="Google Sans Text;sans-serif"/>
        </w:rPr>
      </w:pPr>
      <w:r>
        <w:rPr>
          <w:rFonts w:ascii="Google Sans Text;sans-serif" w:hAnsi="Google Sans Text;sans-serif"/>
          <w:b/>
        </w:rPr>
        <w:t>Hardware &amp; Core Infrastructure:</w:t>
      </w:r>
      <w:r>
        <w:rPr>
          <w:rFonts w:ascii="Google Sans Text;sans-serif" w:hAnsi="Google Sans Text;sans-serif"/>
        </w:rPr>
        <w:t xml:space="preserve"> The on-premises legacy fulfillment database host, end-user endpoint fleets (20 corporate desktops, 15 logistics laptops), and 15 wireless warehouse barcode scanners.</w:t>
      </w:r>
    </w:p>
    <w:p>
      <w:pPr>
        <w:pStyle w:val="BodyText"/>
        <w:numPr>
          <w:ilvl w:val="0"/>
          <w:numId w:val="1"/>
        </w:numPr>
        <w:pBdr/>
        <w:tabs>
          <w:tab w:val="clear" w:pos="709"/>
          <w:tab w:val="left" w:pos="0" w:leader="none"/>
        </w:tabs>
        <w:spacing w:lineRule="auto" w:line="273" w:before="0" w:after="140"/>
        <w:ind w:hanging="283" w:left="709" w:right="0"/>
        <w:rPr>
          <w:rFonts w:ascii="Google Sans Text;sans-serif" w:hAnsi="Google Sans Text;sans-serif"/>
        </w:rPr>
      </w:pPr>
      <w:r>
        <w:rPr>
          <w:rFonts w:ascii="Google Sans Text;sans-serif" w:hAnsi="Google Sans Text;sans-serif"/>
          <w:b/>
        </w:rPr>
        <w:t>Network &amp; Cloud Environments:</w:t>
      </w:r>
      <w:r>
        <w:rPr>
          <w:rFonts w:ascii="Google Sans Text;sans-serif" w:hAnsi="Google Sans Text;sans-serif"/>
        </w:rPr>
        <w:t xml:space="preserve"> Corporate office Wi-Fi networks, remote access portals, and the third-party LogiCloud SaaS supply chain platform.</w:t>
      </w:r>
    </w:p>
    <w:p>
      <w:pPr>
        <w:pStyle w:val="BodyText"/>
        <w:numPr>
          <w:ilvl w:val="0"/>
          <w:numId w:val="1"/>
        </w:numPr>
        <w:pBdr/>
        <w:tabs>
          <w:tab w:val="clear" w:pos="709"/>
          <w:tab w:val="left" w:pos="0" w:leader="none"/>
        </w:tabs>
        <w:spacing w:lineRule="auto" w:line="273" w:before="0" w:after="140"/>
        <w:ind w:hanging="283" w:left="709" w:right="0"/>
        <w:rPr>
          <w:rFonts w:ascii="Google Sans Text;sans-serif" w:hAnsi="Google Sans Text;sans-serif"/>
        </w:rPr>
      </w:pPr>
      <w:r>
        <w:rPr>
          <w:rFonts w:ascii="Google Sans Text;sans-serif" w:hAnsi="Google Sans Text;sans-serif"/>
          <w:b/>
        </w:rPr>
        <w:t>Operational Security Processes:</w:t>
      </w:r>
      <w:r>
        <w:rPr>
          <w:rFonts w:ascii="Google Sans Text;sans-serif" w:hAnsi="Google Sans Text;sans-serif"/>
        </w:rPr>
        <w:t xml:space="preserve"> Identity and Access Management (IAM), local and network logging retention cycles, data backup redundancy workflows, and employee security awareness cultures.</w:t>
      </w:r>
    </w:p>
    <w:p>
      <w:pPr>
        <w:pStyle w:val="Heading3"/>
        <w:spacing w:lineRule="auto" w:line="273" w:before="0" w:after="140"/>
        <w:ind w:hanging="0" w:left="0" w:right="0"/>
        <w:rPr>
          <w:rFonts w:ascii="Google Sans;sans-serif" w:hAnsi="Google Sans;sans-serif"/>
        </w:rPr>
      </w:pPr>
      <w:r>
        <w:rPr>
          <w:rFonts w:ascii="Google Sans;sans-serif" w:hAnsi="Google Sans;sans-serif"/>
        </w:rPr>
        <w:t>3. Critical Risks Deep Dive (High Inherent Posture)</w:t>
      </w:r>
    </w:p>
    <w:p>
      <w:pPr>
        <w:pStyle w:val="Heading4"/>
        <w:spacing w:lineRule="auto" w:line="273" w:before="0" w:after="140"/>
        <w:ind w:hanging="0" w:left="0" w:right="0"/>
        <w:rPr>
          <w:rFonts w:ascii="Google Sans;sans-serif" w:hAnsi="Google Sans;sans-serif"/>
        </w:rPr>
      </w:pPr>
      <w:r>
        <w:rPr>
          <w:rFonts w:ascii="Google Sans;sans-serif" w:hAnsi="Google Sans;sans-serif"/>
        </w:rPr>
        <w:t>Risk 1: On-Premises Fulfillment Database Server Posture</w:t>
      </w:r>
    </w:p>
    <w:p>
      <w:pPr>
        <w:pStyle w:val="BlockQuotation"/>
        <w:spacing w:lineRule="auto" w:line="273" w:before="0" w:after="283"/>
        <w:ind w:hanging="0" w:left="567" w:right="567"/>
        <w:rPr>
          <w:rFonts w:ascii="Google Sans Text;sans-serif" w:hAnsi="Google Sans Text;sans-serif"/>
          <w:b/>
        </w:rPr>
      </w:pPr>
      <w:r>
        <w:rPr>
          <w:rFonts w:ascii="Google Sans Text;sans-serif" w:hAnsi="Google Sans Text;sans-serif"/>
          <w:b/>
        </w:rPr>
        <w:t>Risk Profile Metadata:</w:t>
      </w:r>
    </w:p>
    <w:p>
      <w:pPr>
        <w:pStyle w:val="BlockQuotation"/>
        <w:numPr>
          <w:ilvl w:val="0"/>
          <w:numId w:val="2"/>
        </w:numPr>
        <w:pBdr/>
        <w:tabs>
          <w:tab w:val="clear" w:pos="709"/>
          <w:tab w:val="left" w:pos="0" w:leader="none"/>
        </w:tabs>
        <w:spacing w:lineRule="auto" w:line="273" w:before="0" w:after="283"/>
        <w:ind w:hanging="283" w:left="1276" w:right="567"/>
        <w:rPr>
          <w:rFonts w:ascii="Google Sans Text;sans-serif" w:hAnsi="Google Sans Text;sans-serif"/>
        </w:rPr>
      </w:pPr>
      <w:r>
        <w:rPr>
          <w:rFonts w:ascii="Google Sans Text;sans-serif" w:hAnsi="Google Sans Text;sans-serif"/>
          <w:b/>
        </w:rPr>
        <w:t>Vulnerability Matrix:</w:t>
      </w:r>
      <w:r>
        <w:rPr>
          <w:rFonts w:ascii="Google Sans Text;sans-serif" w:hAnsi="Google Sans Text;sans-serif"/>
        </w:rPr>
        <w:t xml:space="preserve"> Environmental exposure / Non-isolated backup infrastructure</w:t>
      </w:r>
    </w:p>
    <w:p>
      <w:pPr>
        <w:pStyle w:val="BlockQuotation"/>
        <w:numPr>
          <w:ilvl w:val="0"/>
          <w:numId w:val="2"/>
        </w:numPr>
        <w:pBdr/>
        <w:tabs>
          <w:tab w:val="clear" w:pos="709"/>
          <w:tab w:val="left" w:pos="0" w:leader="none"/>
        </w:tabs>
        <w:spacing w:lineRule="auto" w:line="273" w:before="0" w:after="283"/>
        <w:ind w:hanging="283" w:left="1276" w:right="567"/>
        <w:rPr>
          <w:rFonts w:ascii="Google Sans Text;sans-serif" w:hAnsi="Google Sans Text;sans-serif"/>
        </w:rPr>
      </w:pPr>
      <w:r>
        <w:rPr>
          <w:rFonts w:ascii="Google Sans Text;sans-serif" w:hAnsi="Google Sans Text;sans-serif"/>
          <w:b/>
        </w:rPr>
        <w:t>Inherent Risk Score:</w:t>
      </w:r>
      <w:r>
        <w:rPr>
          <w:rFonts w:ascii="Google Sans Text;sans-serif" w:hAnsi="Google Sans Text;sans-serif"/>
        </w:rPr>
        <w:t xml:space="preserve"> 9/9 (HIGH)</w:t>
      </w:r>
    </w:p>
    <w:p>
      <w:pPr>
        <w:pStyle w:val="BlockQuotation"/>
        <w:numPr>
          <w:ilvl w:val="0"/>
          <w:numId w:val="2"/>
        </w:numPr>
        <w:pBdr/>
        <w:tabs>
          <w:tab w:val="clear" w:pos="709"/>
          <w:tab w:val="left" w:pos="0" w:leader="none"/>
        </w:tabs>
        <w:spacing w:lineRule="auto" w:line="273" w:before="0" w:after="283"/>
        <w:ind w:hanging="283" w:left="1276" w:right="567"/>
        <w:rPr/>
      </w:pPr>
      <w:r>
        <w:rPr>
          <w:rFonts w:ascii="Google Sans Text;sans-serif" w:hAnsi="Google Sans Text;sans-serif"/>
          <w:b/>
        </w:rPr>
        <w:t>NIST CSF 2.0 Core Function:</w:t>
      </w:r>
      <w:r>
        <w:rPr>
          <w:rFonts w:ascii="Google Sans Text;sans-serif" w:hAnsi="Google Sans Text;sans-serif"/>
        </w:rPr>
        <w:t xml:space="preserve"> PROTECT (</w:t>
      </w:r>
      <w:r>
        <w:rPr>
          <w:rStyle w:val="SourceText"/>
          <w:rFonts w:ascii="Google Sans Text;sans-serif" w:hAnsi="Google Sans Text;sans-serif"/>
        </w:rPr>
        <w:t>PR.DS-01</w:t>
      </w:r>
      <w:r>
        <w:rPr>
          <w:rFonts w:ascii="Google Sans Text;sans-serif" w:hAnsi="Google Sans Text;sans-serif"/>
        </w:rPr>
        <w:t xml:space="preserve">, </w:t>
      </w:r>
      <w:r>
        <w:rPr>
          <w:rStyle w:val="SourceText"/>
          <w:rFonts w:ascii="Google Sans Text;sans-serif" w:hAnsi="Google Sans Text;sans-serif"/>
        </w:rPr>
        <w:t>PR.DS-11</w:t>
      </w:r>
      <w:r>
        <w:rPr>
          <w:rFonts w:ascii="Google Sans Text;sans-serif" w:hAnsi="Google Sans Text;sans-serif"/>
        </w:rPr>
        <w:t>) | RECOVER (</w:t>
      </w:r>
      <w:r>
        <w:rPr>
          <w:rStyle w:val="SourceText"/>
          <w:rFonts w:ascii="Google Sans Text;sans-serif" w:hAnsi="Google Sans Text;sans-serif"/>
        </w:rPr>
        <w:t>RC.RP-01</w:t>
      </w:r>
      <w:r>
        <w:rPr>
          <w:rFonts w:ascii="Google Sans Text;sans-serif" w:hAnsi="Google Sans Text;sans-serif"/>
        </w:rPr>
        <w:t>)</w:t>
      </w:r>
    </w:p>
    <w:p>
      <w:pPr>
        <w:pStyle w:val="BodyText"/>
        <w:numPr>
          <w:ilvl w:val="0"/>
          <w:numId w:val="3"/>
        </w:numPr>
        <w:pBdr/>
        <w:tabs>
          <w:tab w:val="clear" w:pos="709"/>
          <w:tab w:val="left" w:pos="0" w:leader="none"/>
        </w:tabs>
        <w:spacing w:lineRule="auto" w:line="273" w:before="0" w:after="140"/>
        <w:ind w:hanging="283" w:left="709" w:right="0"/>
        <w:rPr>
          <w:rFonts w:ascii="Google Sans Text;sans-serif" w:hAnsi="Google Sans Text;sans-serif"/>
        </w:rPr>
      </w:pPr>
      <w:r>
        <w:rPr>
          <w:rFonts w:ascii="Google Sans Text;sans-serif" w:hAnsi="Google Sans Text;sans-serif"/>
          <w:b/>
        </w:rPr>
        <w:t>Vulnerability Analysis:</w:t>
      </w:r>
      <w:r>
        <w:rPr>
          <w:rFonts w:ascii="Google Sans Text;sans-serif" w:hAnsi="Google Sans Text;sans-serif"/>
        </w:rPr>
        <w:t xml:space="preserve"> The central legacy fulfillment database—which houses high-value Personally Identifiable Information (PII) and historical financial data—is physically stored in an unmonitored utility closet lacking environmental, climate, or secondary access controls. Furthermore, backups are routinely written to a physically connected, non-isolated external USB drive.</w:t>
      </w:r>
    </w:p>
    <w:p>
      <w:pPr>
        <w:pStyle w:val="BodyText"/>
        <w:numPr>
          <w:ilvl w:val="0"/>
          <w:numId w:val="3"/>
        </w:numPr>
        <w:pBdr/>
        <w:tabs>
          <w:tab w:val="clear" w:pos="709"/>
          <w:tab w:val="left" w:pos="0" w:leader="none"/>
        </w:tabs>
        <w:spacing w:lineRule="auto" w:line="273" w:before="0" w:after="140"/>
        <w:ind w:hanging="283" w:left="709" w:right="0"/>
        <w:rPr>
          <w:rFonts w:ascii="Google Sans Text;sans-serif" w:hAnsi="Google Sans Text;sans-serif"/>
        </w:rPr>
      </w:pPr>
      <w:r>
        <w:rPr>
          <w:rFonts w:ascii="Google Sans Text;sans-serif" w:hAnsi="Google Sans Text;sans-serif"/>
          <w:b/>
        </w:rPr>
        <w:t>Business Impact:</w:t>
      </w:r>
      <w:r>
        <w:rPr>
          <w:rFonts w:ascii="Google Sans Text;sans-serif" w:hAnsi="Google Sans Text;sans-serif"/>
        </w:rPr>
        <w:t xml:space="preserve"> This architecture introduces a severe Single Point of Failure (SPOF). Localized environmental disasters (flooding, electrical fires, power surges) or unauthorized physical access will result in permanent data destruction. Concurrently, because the backup media is non-isolated, a localized ransomware infection on the primary host will immediately propagate to and encrypt the USB backup, rendering data recovery impossible and causing permanent downtime.</w:t>
      </w:r>
    </w:p>
    <w:p>
      <w:pPr>
        <w:pStyle w:val="Heading4"/>
        <w:spacing w:lineRule="auto" w:line="273" w:before="0" w:after="140"/>
        <w:ind w:hanging="0" w:left="0" w:right="0"/>
        <w:rPr>
          <w:rFonts w:ascii="Google Sans;sans-serif" w:hAnsi="Google Sans;sans-serif"/>
        </w:rPr>
      </w:pPr>
      <w:r>
        <w:rPr>
          <w:rFonts w:ascii="Google Sans;sans-serif" w:hAnsi="Google Sans;sans-serif"/>
        </w:rPr>
        <w:t>Risk 2: Over-Privileged Endpoint Security Architecture</w:t>
      </w:r>
    </w:p>
    <w:p>
      <w:pPr>
        <w:pStyle w:val="BlockQuotation"/>
        <w:spacing w:lineRule="auto" w:line="273" w:before="0" w:after="283"/>
        <w:ind w:hanging="0" w:left="567" w:right="567"/>
        <w:rPr>
          <w:rFonts w:ascii="Google Sans Text;sans-serif" w:hAnsi="Google Sans Text;sans-serif"/>
          <w:b/>
        </w:rPr>
      </w:pPr>
      <w:r>
        <w:rPr>
          <w:rFonts w:ascii="Google Sans Text;sans-serif" w:hAnsi="Google Sans Text;sans-serif"/>
          <w:b/>
        </w:rPr>
        <w:t>Risk Profile Metadata:</w:t>
      </w:r>
    </w:p>
    <w:p>
      <w:pPr>
        <w:pStyle w:val="BlockQuotation"/>
        <w:numPr>
          <w:ilvl w:val="0"/>
          <w:numId w:val="4"/>
        </w:numPr>
        <w:pBdr/>
        <w:tabs>
          <w:tab w:val="clear" w:pos="709"/>
          <w:tab w:val="left" w:pos="0" w:leader="none"/>
        </w:tabs>
        <w:spacing w:lineRule="auto" w:line="273" w:before="0" w:after="283"/>
        <w:ind w:hanging="283" w:left="1276" w:right="567"/>
        <w:rPr>
          <w:rFonts w:ascii="Google Sans Text;sans-serif" w:hAnsi="Google Sans Text;sans-serif"/>
        </w:rPr>
      </w:pPr>
      <w:r>
        <w:rPr>
          <w:rFonts w:ascii="Google Sans Text;sans-serif" w:hAnsi="Google Sans Text;sans-serif"/>
          <w:b/>
        </w:rPr>
        <w:t>Vulnerability Matrix:</w:t>
      </w:r>
      <w:r>
        <w:rPr>
          <w:rFonts w:ascii="Google Sans Text;sans-serif" w:hAnsi="Google Sans Text;sans-serif"/>
        </w:rPr>
        <w:t xml:space="preserve"> Over-privileged access control / Local identity governance</w:t>
      </w:r>
    </w:p>
    <w:p>
      <w:pPr>
        <w:pStyle w:val="BlockQuotation"/>
        <w:numPr>
          <w:ilvl w:val="0"/>
          <w:numId w:val="4"/>
        </w:numPr>
        <w:pBdr/>
        <w:tabs>
          <w:tab w:val="clear" w:pos="709"/>
          <w:tab w:val="left" w:pos="0" w:leader="none"/>
        </w:tabs>
        <w:spacing w:lineRule="auto" w:line="273" w:before="0" w:after="283"/>
        <w:ind w:hanging="283" w:left="1276" w:right="567"/>
        <w:rPr>
          <w:rFonts w:ascii="Google Sans Text;sans-serif" w:hAnsi="Google Sans Text;sans-serif"/>
        </w:rPr>
      </w:pPr>
      <w:r>
        <w:rPr>
          <w:rFonts w:ascii="Google Sans Text;sans-serif" w:hAnsi="Google Sans Text;sans-serif"/>
          <w:b/>
        </w:rPr>
        <w:t>Inherent Risk Score:</w:t>
      </w:r>
      <w:r>
        <w:rPr>
          <w:rFonts w:ascii="Google Sans Text;sans-serif" w:hAnsi="Google Sans Text;sans-serif"/>
        </w:rPr>
        <w:t xml:space="preserve"> 9/9 (HIGH)</w:t>
      </w:r>
    </w:p>
    <w:p>
      <w:pPr>
        <w:pStyle w:val="BlockQuotation"/>
        <w:numPr>
          <w:ilvl w:val="0"/>
          <w:numId w:val="4"/>
        </w:numPr>
        <w:pBdr/>
        <w:tabs>
          <w:tab w:val="clear" w:pos="709"/>
          <w:tab w:val="left" w:pos="0" w:leader="none"/>
        </w:tabs>
        <w:spacing w:lineRule="auto" w:line="273" w:before="0" w:after="283"/>
        <w:ind w:hanging="283" w:left="1276" w:right="567"/>
        <w:rPr/>
      </w:pPr>
      <w:r>
        <w:rPr>
          <w:rFonts w:ascii="Google Sans Text;sans-serif" w:hAnsi="Google Sans Text;sans-serif"/>
          <w:b/>
        </w:rPr>
        <w:t>NIST CSF 2.0 Core Function:</w:t>
      </w:r>
      <w:r>
        <w:rPr>
          <w:rFonts w:ascii="Google Sans Text;sans-serif" w:hAnsi="Google Sans Text;sans-serif"/>
        </w:rPr>
        <w:t xml:space="preserve"> PROTECT (</w:t>
      </w:r>
      <w:r>
        <w:rPr>
          <w:rStyle w:val="SourceText"/>
          <w:rFonts w:ascii="Google Sans Text;sans-serif" w:hAnsi="Google Sans Text;sans-serif"/>
        </w:rPr>
        <w:t>PR.AA-01</w:t>
      </w:r>
      <w:r>
        <w:rPr>
          <w:rFonts w:ascii="Google Sans Text;sans-serif" w:hAnsi="Google Sans Text;sans-serif"/>
        </w:rPr>
        <w:t xml:space="preserve">, </w:t>
      </w:r>
      <w:r>
        <w:rPr>
          <w:rStyle w:val="SourceText"/>
          <w:rFonts w:ascii="Google Sans Text;sans-serif" w:hAnsi="Google Sans Text;sans-serif"/>
        </w:rPr>
        <w:t>PR.AA-06</w:t>
      </w:r>
      <w:r>
        <w:rPr>
          <w:rFonts w:ascii="Google Sans Text;sans-serif" w:hAnsi="Google Sans Text;sans-serif"/>
        </w:rPr>
        <w:t>) | GOVERN (</w:t>
      </w:r>
      <w:r>
        <w:rPr>
          <w:rStyle w:val="SourceText"/>
          <w:rFonts w:ascii="Google Sans Text;sans-serif" w:hAnsi="Google Sans Text;sans-serif"/>
        </w:rPr>
        <w:t>GV.OC-01</w:t>
      </w:r>
      <w:r>
        <w:rPr>
          <w:rFonts w:ascii="Google Sans Text;sans-serif" w:hAnsi="Google Sans Text;sans-serif"/>
        </w:rPr>
        <w:t>)</w:t>
      </w:r>
    </w:p>
    <w:p>
      <w:pPr>
        <w:pStyle w:val="BodyText"/>
        <w:numPr>
          <w:ilvl w:val="0"/>
          <w:numId w:val="5"/>
        </w:numPr>
        <w:pBdr/>
        <w:tabs>
          <w:tab w:val="clear" w:pos="709"/>
          <w:tab w:val="left" w:pos="0" w:leader="none"/>
        </w:tabs>
        <w:spacing w:lineRule="auto" w:line="273" w:before="0" w:after="140"/>
        <w:ind w:hanging="283" w:left="709" w:right="0"/>
        <w:rPr>
          <w:rFonts w:ascii="Google Sans Text;sans-serif" w:hAnsi="Google Sans Text;sans-serif"/>
        </w:rPr>
      </w:pPr>
      <w:r>
        <w:rPr>
          <w:rFonts w:ascii="Google Sans Text;sans-serif" w:hAnsi="Google Sans Text;sans-serif"/>
          <w:b/>
        </w:rPr>
        <w:t>Vulnerability Analysis:</w:t>
      </w:r>
      <w:r>
        <w:rPr>
          <w:rFonts w:ascii="Google Sans Text;sans-serif" w:hAnsi="Google Sans Text;sans-serif"/>
        </w:rPr>
        <w:t xml:space="preserve"> End-user laptops and desktops are deployed across the corporate network with persistent local administrative permissions fully granted to standard employees.</w:t>
      </w:r>
    </w:p>
    <w:p>
      <w:pPr>
        <w:pStyle w:val="BodyText"/>
        <w:numPr>
          <w:ilvl w:val="0"/>
          <w:numId w:val="5"/>
        </w:numPr>
        <w:pBdr/>
        <w:tabs>
          <w:tab w:val="clear" w:pos="709"/>
          <w:tab w:val="left" w:pos="0" w:leader="none"/>
        </w:tabs>
        <w:spacing w:lineRule="auto" w:line="273" w:before="0" w:after="140"/>
        <w:ind w:hanging="283" w:left="709" w:right="0"/>
        <w:rPr>
          <w:rFonts w:ascii="Google Sans Text;sans-serif" w:hAnsi="Google Sans Text;sans-serif"/>
        </w:rPr>
      </w:pPr>
      <w:r>
        <w:rPr>
          <w:rFonts w:ascii="Google Sans Text;sans-serif" w:hAnsi="Google Sans Text;sans-serif"/>
          <w:b/>
        </w:rPr>
        <w:t>Business Impact:</w:t>
      </w:r>
      <w:r>
        <w:rPr>
          <w:rFonts w:ascii="Google Sans Text;sans-serif" w:hAnsi="Google Sans Text;sans-serif"/>
        </w:rPr>
        <w:t xml:space="preserve"> Granting local admin rights completely dismantles endpoint defensive controls. If an employee succumbs to a phishing attempt or downloads malicious media, the payload executes with full system authorization. This allows threat actors to silently bypass local anti-malware software, alter core operating system registries, install persistent backdoors, and establish a network beachhead for lateral traversal into internal servers.</w:t>
      </w:r>
    </w:p>
    <w:p>
      <w:pPr>
        <w:pStyle w:val="Heading4"/>
        <w:spacing w:lineRule="auto" w:line="273" w:before="0" w:after="140"/>
        <w:ind w:hanging="0" w:left="0" w:right="0"/>
        <w:rPr>
          <w:rFonts w:ascii="Google Sans;sans-serif" w:hAnsi="Google Sans;sans-serif"/>
        </w:rPr>
      </w:pPr>
      <w:r>
        <w:rPr>
          <w:rFonts w:ascii="Google Sans;sans-serif" w:hAnsi="Google Sans;sans-serif"/>
        </w:rPr>
        <w:t>Risk 3: Flawed Identity Management &amp; Authentication Workflows</w:t>
      </w:r>
    </w:p>
    <w:p>
      <w:pPr>
        <w:pStyle w:val="BlockQuotation"/>
        <w:spacing w:lineRule="auto" w:line="273" w:before="0" w:after="283"/>
        <w:ind w:hanging="0" w:left="567" w:right="567"/>
        <w:rPr>
          <w:rFonts w:ascii="Google Sans Text;sans-serif" w:hAnsi="Google Sans Text;sans-serif"/>
          <w:b/>
        </w:rPr>
      </w:pPr>
      <w:r>
        <w:rPr>
          <w:rFonts w:ascii="Google Sans Text;sans-serif" w:hAnsi="Google Sans Text;sans-serif"/>
          <w:b/>
        </w:rPr>
        <w:t>Risk Profile Metadata:</w:t>
      </w:r>
    </w:p>
    <w:p>
      <w:pPr>
        <w:pStyle w:val="BlockQuotation"/>
        <w:numPr>
          <w:ilvl w:val="0"/>
          <w:numId w:val="6"/>
        </w:numPr>
        <w:pBdr/>
        <w:tabs>
          <w:tab w:val="clear" w:pos="709"/>
          <w:tab w:val="left" w:pos="0" w:leader="none"/>
        </w:tabs>
        <w:spacing w:lineRule="auto" w:line="273" w:before="0" w:after="283"/>
        <w:ind w:hanging="283" w:left="1276" w:right="567"/>
        <w:rPr>
          <w:rFonts w:ascii="Google Sans Text;sans-serif" w:hAnsi="Google Sans Text;sans-serif"/>
        </w:rPr>
      </w:pPr>
      <w:r>
        <w:rPr>
          <w:rFonts w:ascii="Google Sans Text;sans-serif" w:hAnsi="Google Sans Text;sans-serif"/>
          <w:b/>
        </w:rPr>
        <w:t>Vulnerability Matrix:</w:t>
      </w:r>
      <w:r>
        <w:rPr>
          <w:rFonts w:ascii="Google Sans Text;sans-serif" w:hAnsi="Google Sans Text;sans-serif"/>
        </w:rPr>
        <w:t xml:space="preserve"> Authentication bypass / Broken identity accountability</w:t>
      </w:r>
    </w:p>
    <w:p>
      <w:pPr>
        <w:pStyle w:val="BlockQuotation"/>
        <w:numPr>
          <w:ilvl w:val="0"/>
          <w:numId w:val="6"/>
        </w:numPr>
        <w:pBdr/>
        <w:tabs>
          <w:tab w:val="clear" w:pos="709"/>
          <w:tab w:val="left" w:pos="0" w:leader="none"/>
        </w:tabs>
        <w:spacing w:lineRule="auto" w:line="273" w:before="0" w:after="283"/>
        <w:ind w:hanging="283" w:left="1276" w:right="567"/>
        <w:rPr>
          <w:rFonts w:ascii="Google Sans Text;sans-serif" w:hAnsi="Google Sans Text;sans-serif"/>
        </w:rPr>
      </w:pPr>
      <w:r>
        <w:rPr>
          <w:rFonts w:ascii="Google Sans Text;sans-serif" w:hAnsi="Google Sans Text;sans-serif"/>
          <w:b/>
        </w:rPr>
        <w:t>Inherent Risk Score:</w:t>
      </w:r>
      <w:r>
        <w:rPr>
          <w:rFonts w:ascii="Google Sans Text;sans-serif" w:hAnsi="Google Sans Text;sans-serif"/>
        </w:rPr>
        <w:t xml:space="preserve"> 9/9 (HIGH)</w:t>
      </w:r>
    </w:p>
    <w:p>
      <w:pPr>
        <w:pStyle w:val="BlockQuotation"/>
        <w:numPr>
          <w:ilvl w:val="0"/>
          <w:numId w:val="6"/>
        </w:numPr>
        <w:pBdr/>
        <w:tabs>
          <w:tab w:val="clear" w:pos="709"/>
          <w:tab w:val="left" w:pos="0" w:leader="none"/>
        </w:tabs>
        <w:spacing w:lineRule="auto" w:line="273" w:before="0" w:after="283"/>
        <w:ind w:hanging="283" w:left="1276" w:right="567"/>
        <w:rPr/>
      </w:pPr>
      <w:r>
        <w:rPr>
          <w:rFonts w:ascii="Google Sans Text;sans-serif" w:hAnsi="Google Sans Text;sans-serif"/>
          <w:b/>
        </w:rPr>
        <w:t>NIST CSF 2.0 Core Function:</w:t>
      </w:r>
      <w:r>
        <w:rPr>
          <w:rFonts w:ascii="Google Sans Text;sans-serif" w:hAnsi="Google Sans Text;sans-serif"/>
        </w:rPr>
        <w:t xml:space="preserve"> PROTECT (</w:t>
      </w:r>
      <w:r>
        <w:rPr>
          <w:rStyle w:val="SourceText"/>
          <w:rFonts w:ascii="Google Sans Text;sans-serif" w:hAnsi="Google Sans Text;sans-serif"/>
        </w:rPr>
        <w:t>PR.AA-02</w:t>
      </w:r>
      <w:r>
        <w:rPr>
          <w:rFonts w:ascii="Google Sans Text;sans-serif" w:hAnsi="Google Sans Text;sans-serif"/>
        </w:rPr>
        <w:t xml:space="preserve">, </w:t>
      </w:r>
      <w:r>
        <w:rPr>
          <w:rStyle w:val="SourceText"/>
          <w:rFonts w:ascii="Google Sans Text;sans-serif" w:hAnsi="Google Sans Text;sans-serif"/>
        </w:rPr>
        <w:t>PR.AA-05</w:t>
      </w:r>
      <w:r>
        <w:rPr>
          <w:rFonts w:ascii="Google Sans Text;sans-serif" w:hAnsi="Google Sans Text;sans-serif"/>
        </w:rPr>
        <w:t>)</w:t>
      </w:r>
    </w:p>
    <w:p>
      <w:pPr>
        <w:pStyle w:val="BodyText"/>
        <w:numPr>
          <w:ilvl w:val="0"/>
          <w:numId w:val="7"/>
        </w:numPr>
        <w:pBdr/>
        <w:tabs>
          <w:tab w:val="clear" w:pos="709"/>
          <w:tab w:val="left" w:pos="0" w:leader="none"/>
        </w:tabs>
        <w:spacing w:lineRule="auto" w:line="273" w:before="0" w:after="140"/>
        <w:ind w:hanging="283" w:left="709" w:right="0"/>
        <w:rPr>
          <w:rFonts w:ascii="Google Sans Text;sans-serif" w:hAnsi="Google Sans Text;sans-serif"/>
        </w:rPr>
      </w:pPr>
      <w:r>
        <w:rPr>
          <w:rFonts w:ascii="Google Sans Text;sans-serif" w:hAnsi="Google Sans Text;sans-serif"/>
          <w:b/>
        </w:rPr>
        <w:t>Vulnerability Analysis:</w:t>
      </w:r>
      <w:r>
        <w:rPr>
          <w:rFonts w:ascii="Google Sans Text;sans-serif" w:hAnsi="Google Sans Text;sans-serif"/>
        </w:rPr>
        <w:t xml:space="preserve"> Remote corporate access portals lack Multi-Factor Authentication (MFA), relying strictly on single-factor passwords. Simultaneously, the 15 warehouse wireless barcode scanners share a single, static master login account across all hardware devices with no mandatory rotation policy.</w:t>
      </w:r>
    </w:p>
    <w:p>
      <w:pPr>
        <w:pStyle w:val="BodyText"/>
        <w:numPr>
          <w:ilvl w:val="0"/>
          <w:numId w:val="7"/>
        </w:numPr>
        <w:pBdr/>
        <w:tabs>
          <w:tab w:val="clear" w:pos="709"/>
          <w:tab w:val="left" w:pos="0" w:leader="none"/>
        </w:tabs>
        <w:spacing w:lineRule="auto" w:line="273" w:before="0" w:after="140"/>
        <w:ind w:hanging="283" w:left="709" w:right="0"/>
        <w:rPr>
          <w:rFonts w:ascii="Google Sans Text;sans-serif" w:hAnsi="Google Sans Text;sans-serif"/>
        </w:rPr>
      </w:pPr>
      <w:r>
        <w:rPr>
          <w:rFonts w:ascii="Google Sans Text;sans-serif" w:hAnsi="Google Sans Text;sans-serif"/>
          <w:b/>
        </w:rPr>
        <w:t>Business Impact:</w:t>
      </w:r>
      <w:r>
        <w:rPr>
          <w:rFonts w:ascii="Google Sans Text;sans-serif" w:hAnsi="Google Sans Text;sans-serif"/>
        </w:rPr>
        <w:t xml:space="preserve"> This ecosystem entirely erases non-repudiation and accountability. Malicious system modifications or data leaks occurring on the warehouse floor cannot be attributed to any individual worker, creating severe internal blind spots. Furthermore, malicious actors targeting remote-work endpoints can gain complete access via basic credential harvesting or brute-force attacks, requiring zero technical exploitation to breach the perimeter.</w:t>
      </w:r>
    </w:p>
    <w:p>
      <w:pPr>
        <w:pStyle w:val="Heading3"/>
        <w:spacing w:lineRule="auto" w:line="273" w:before="0" w:after="140"/>
        <w:ind w:hanging="0" w:left="0" w:right="0"/>
        <w:rPr>
          <w:rFonts w:ascii="Google Sans;sans-serif" w:hAnsi="Google Sans;sans-serif"/>
        </w:rPr>
      </w:pPr>
      <w:r>
        <w:rPr>
          <w:rFonts w:ascii="Google Sans;sans-serif" w:hAnsi="Google Sans;sans-serif"/>
        </w:rPr>
        <w:t>4. Strategic Roadmap &amp; Remediation Phasing</w:t>
      </w:r>
    </w:p>
    <w:p>
      <w:pPr>
        <w:pStyle w:val="BodyText"/>
        <w:spacing w:lineRule="auto" w:line="273" w:before="0" w:after="140"/>
        <w:ind w:hanging="0" w:left="0" w:right="0"/>
        <w:rPr>
          <w:rFonts w:ascii="Google Sans Text;sans-serif" w:hAnsi="Google Sans Text;sans-serif"/>
        </w:rPr>
      </w:pPr>
      <w:r>
        <w:rPr>
          <w:rFonts w:ascii="Google Sans Text;sans-serif" w:hAnsi="Google Sans Text;sans-serif"/>
        </w:rPr>
        <w:t>This risk framework utilizes a localized 1–9 risk scoring system ($\text{Likelihood} \times \text{Impact}$). Remediation projects are structured into two definitive phases to prioritize immediate defensive requirements:</w:t>
      </w:r>
    </w:p>
    <w:p>
      <w:pPr>
        <w:pStyle w:val="Heading4"/>
        <w:spacing w:lineRule="auto" w:line="273" w:before="0" w:after="140"/>
        <w:ind w:hanging="0" w:left="0" w:right="0"/>
        <w:rPr>
          <w:rFonts w:ascii="Google Sans;sans-serif" w:hAnsi="Google Sans;sans-serif"/>
        </w:rPr>
      </w:pPr>
      <w:r>
        <w:rPr>
          <w:rFonts w:ascii="Google Sans;sans-serif" w:hAnsi="Google Sans;sans-serif"/>
        </w:rPr>
        <w:t>Phase 1: Immediate Mitigation (0 – 30 Days)</w:t>
      </w:r>
    </w:p>
    <w:p>
      <w:pPr>
        <w:pStyle w:val="BodyText"/>
        <w:spacing w:lineRule="auto" w:line="273" w:before="0" w:after="140"/>
        <w:ind w:hanging="0" w:left="0" w:right="0"/>
        <w:rPr>
          <w:rFonts w:ascii="Google Sans Text;sans-serif" w:hAnsi="Google Sans Text;sans-serif"/>
          <w:i/>
        </w:rPr>
      </w:pPr>
      <w:r>
        <w:rPr>
          <w:rFonts w:ascii="Google Sans Text;sans-serif" w:hAnsi="Google Sans Text;sans-serif"/>
          <w:i/>
        </w:rPr>
        <w:t>Focus Area: High-Risk Treatment (Scores 7–9)</w:t>
      </w:r>
    </w:p>
    <w:tbl>
      <w:tblPr>
        <w:tblW w:w="9638" w:type="dxa"/>
        <w:jc w:val="left"/>
        <w:tblInd w:w="180" w:type="dxa"/>
        <w:tblLayout w:type="fixed"/>
        <w:tblCellMar>
          <w:top w:w="120" w:type="dxa"/>
          <w:left w:w="180" w:type="dxa"/>
          <w:bottom w:w="120" w:type="dxa"/>
          <w:right w:w="180" w:type="dxa"/>
        </w:tblCellMar>
      </w:tblPr>
      <w:tblGrid>
        <w:gridCol w:w="1025"/>
        <w:gridCol w:w="2668"/>
        <w:gridCol w:w="5945"/>
      </w:tblGrid>
      <w:tr>
        <w:trPr>
          <w:tblHeader w:val="true"/>
        </w:trPr>
        <w:tc>
          <w:tcPr>
            <w:tcW w:w="102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3" w:before="0" w:after="0"/>
              <w:ind w:hanging="0" w:left="0" w:right="0"/>
              <w:rPr/>
            </w:pPr>
            <w:r>
              <w:rPr>
                <w:rStyle w:val="Strong"/>
                <w:rFonts w:ascii="Google Sans Text;sans-serif" w:hAnsi="Google Sans Text;sans-serif"/>
              </w:rPr>
              <w:t>Priority</w:t>
            </w:r>
          </w:p>
        </w:tc>
        <w:tc>
          <w:tcPr>
            <w:tcW w:w="2668"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3" w:before="0" w:after="0"/>
              <w:ind w:hanging="0" w:left="0" w:right="0"/>
              <w:rPr/>
            </w:pPr>
            <w:r>
              <w:rPr>
                <w:rStyle w:val="Strong"/>
                <w:rFonts w:ascii="Google Sans Text;sans-serif" w:hAnsi="Google Sans Text;sans-serif"/>
              </w:rPr>
              <w:t>Targeted Security Control Objective</w:t>
            </w:r>
          </w:p>
        </w:tc>
        <w:tc>
          <w:tcPr>
            <w:tcW w:w="594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3" w:before="0" w:after="0"/>
              <w:ind w:hanging="0" w:left="0" w:right="0"/>
              <w:rPr/>
            </w:pPr>
            <w:r>
              <w:rPr>
                <w:rStyle w:val="Strong"/>
                <w:rFonts w:ascii="Google Sans Text;sans-serif" w:hAnsi="Google Sans Text;sans-serif"/>
              </w:rPr>
              <w:t>Action Plan Requirements</w:t>
            </w:r>
          </w:p>
        </w:tc>
      </w:tr>
      <w:tr>
        <w:trPr/>
        <w:tc>
          <w:tcPr>
            <w:tcW w:w="102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3" w:before="0" w:after="140"/>
              <w:ind w:hanging="0" w:left="0" w:right="0"/>
              <w:rPr>
                <w:rFonts w:ascii="Google Sans Text;sans-serif" w:hAnsi="Google Sans Text;sans-serif"/>
                <w:b/>
              </w:rPr>
            </w:pPr>
            <w:r>
              <w:rPr>
                <w:rFonts w:ascii="Google Sans Text;sans-serif" w:hAnsi="Google Sans Text;sans-serif"/>
                <w:b/>
              </w:rPr>
              <w:t>1.1</w:t>
            </w:r>
          </w:p>
        </w:tc>
        <w:tc>
          <w:tcPr>
            <w:tcW w:w="2668"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3" w:before="0" w:after="140"/>
              <w:ind w:hanging="0" w:left="0" w:right="0"/>
              <w:rPr>
                <w:rFonts w:ascii="Google Sans Text;sans-serif" w:hAnsi="Google Sans Text;sans-serif"/>
              </w:rPr>
            </w:pPr>
            <w:r>
              <w:rPr>
                <w:rFonts w:ascii="Google Sans Text;sans-serif" w:hAnsi="Google Sans Text;sans-serif"/>
              </w:rPr>
              <w:t>Endpoint Privilege Deprovisioning</w:t>
            </w:r>
          </w:p>
        </w:tc>
        <w:tc>
          <w:tcPr>
            <w:tcW w:w="594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3" w:before="0" w:after="140"/>
              <w:ind w:hanging="0" w:left="0" w:right="0"/>
              <w:rPr>
                <w:rFonts w:ascii="Google Sans Text;sans-serif" w:hAnsi="Google Sans Text;sans-serif"/>
              </w:rPr>
            </w:pPr>
            <w:r>
              <w:rPr>
                <w:rFonts w:ascii="Google Sans Text;sans-serif" w:hAnsi="Google Sans Text;sans-serif"/>
              </w:rPr>
              <w:t xml:space="preserve">Strip local administrative rights across end-user laptops/desktops. Transition accounts to standard User roles using the </w:t>
            </w:r>
            <w:r>
              <w:rPr>
                <w:rFonts w:ascii="Google Sans Text;sans-serif" w:hAnsi="Google Sans Text;sans-serif"/>
                <w:i/>
              </w:rPr>
              <w:t>Principle of Least Privilege</w:t>
            </w:r>
            <w:r>
              <w:rPr>
                <w:rFonts w:ascii="Google Sans Text;sans-serif" w:hAnsi="Google Sans Text;sans-serif"/>
              </w:rPr>
              <w:t>.</w:t>
            </w:r>
          </w:p>
        </w:tc>
      </w:tr>
      <w:tr>
        <w:trPr/>
        <w:tc>
          <w:tcPr>
            <w:tcW w:w="102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3" w:before="0" w:after="140"/>
              <w:ind w:hanging="0" w:left="0" w:right="0"/>
              <w:rPr>
                <w:rFonts w:ascii="Google Sans Text;sans-serif" w:hAnsi="Google Sans Text;sans-serif"/>
                <w:b/>
              </w:rPr>
            </w:pPr>
            <w:r>
              <w:rPr>
                <w:rFonts w:ascii="Google Sans Text;sans-serif" w:hAnsi="Google Sans Text;sans-serif"/>
                <w:b/>
              </w:rPr>
              <w:t>1.2</w:t>
            </w:r>
          </w:p>
        </w:tc>
        <w:tc>
          <w:tcPr>
            <w:tcW w:w="2668"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3" w:before="0" w:after="140"/>
              <w:ind w:hanging="0" w:left="0" w:right="0"/>
              <w:rPr>
                <w:rFonts w:ascii="Google Sans Text;sans-serif" w:hAnsi="Google Sans Text;sans-serif"/>
              </w:rPr>
            </w:pPr>
            <w:r>
              <w:rPr>
                <w:rFonts w:ascii="Google Sans Text;sans-serif" w:hAnsi="Google Sans Text;sans-serif"/>
              </w:rPr>
              <w:t>Remote Boundary Protection</w:t>
            </w:r>
          </w:p>
        </w:tc>
        <w:tc>
          <w:tcPr>
            <w:tcW w:w="594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3" w:before="0" w:after="140"/>
              <w:ind w:hanging="0" w:left="0" w:right="0"/>
              <w:rPr>
                <w:rFonts w:ascii="Google Sans Text;sans-serif" w:hAnsi="Google Sans Text;sans-serif"/>
              </w:rPr>
            </w:pPr>
            <w:r>
              <w:rPr>
                <w:rFonts w:ascii="Google Sans Text;sans-serif" w:hAnsi="Google Sans Text;sans-serif"/>
              </w:rPr>
              <w:t>Enforce mandatory Multi-Factor Authentication (MFA) across all remote access checkpoints and web portals.</w:t>
            </w:r>
          </w:p>
        </w:tc>
      </w:tr>
      <w:tr>
        <w:trPr/>
        <w:tc>
          <w:tcPr>
            <w:tcW w:w="102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3" w:before="0" w:after="140"/>
              <w:ind w:hanging="0" w:left="0" w:right="0"/>
              <w:rPr>
                <w:rFonts w:ascii="Google Sans Text;sans-serif" w:hAnsi="Google Sans Text;sans-serif"/>
                <w:b/>
              </w:rPr>
            </w:pPr>
            <w:r>
              <w:rPr>
                <w:rFonts w:ascii="Google Sans Text;sans-serif" w:hAnsi="Google Sans Text;sans-serif"/>
                <w:b/>
              </w:rPr>
              <w:t>1.3</w:t>
            </w:r>
          </w:p>
        </w:tc>
        <w:tc>
          <w:tcPr>
            <w:tcW w:w="2668"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3" w:before="0" w:after="140"/>
              <w:ind w:hanging="0" w:left="0" w:right="0"/>
              <w:rPr>
                <w:rFonts w:ascii="Google Sans Text;sans-serif" w:hAnsi="Google Sans Text;sans-serif"/>
              </w:rPr>
            </w:pPr>
            <w:r>
              <w:rPr>
                <w:rFonts w:ascii="Google Sans Text;sans-serif" w:hAnsi="Google Sans Text;sans-serif"/>
              </w:rPr>
              <w:t>Account Non-Repudiation</w:t>
            </w:r>
          </w:p>
        </w:tc>
        <w:tc>
          <w:tcPr>
            <w:tcW w:w="594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3" w:before="0" w:after="140"/>
              <w:ind w:hanging="0" w:left="0" w:right="0"/>
              <w:rPr>
                <w:rFonts w:ascii="Google Sans Text;sans-serif" w:hAnsi="Google Sans Text;sans-serif"/>
              </w:rPr>
            </w:pPr>
            <w:r>
              <w:rPr>
                <w:rFonts w:ascii="Google Sans Text;sans-serif" w:hAnsi="Google Sans Text;sans-serif"/>
              </w:rPr>
              <w:t>Terminate the shared warehouse scanner credential. Provision distinct, individualized identity accounts for each warehouse associate.</w:t>
            </w:r>
          </w:p>
        </w:tc>
      </w:tr>
      <w:tr>
        <w:trPr/>
        <w:tc>
          <w:tcPr>
            <w:tcW w:w="102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3" w:before="0" w:after="140"/>
              <w:ind w:hanging="0" w:left="0" w:right="0"/>
              <w:rPr>
                <w:rFonts w:ascii="Google Sans Text;sans-serif" w:hAnsi="Google Sans Text;sans-serif"/>
                <w:b/>
              </w:rPr>
            </w:pPr>
            <w:r>
              <w:rPr>
                <w:rFonts w:ascii="Google Sans Text;sans-serif" w:hAnsi="Google Sans Text;sans-serif"/>
                <w:b/>
              </w:rPr>
              <w:t>1.4</w:t>
            </w:r>
          </w:p>
        </w:tc>
        <w:tc>
          <w:tcPr>
            <w:tcW w:w="2668"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3" w:before="0" w:after="140"/>
              <w:ind w:hanging="0" w:left="0" w:right="0"/>
              <w:rPr>
                <w:rFonts w:ascii="Google Sans Text;sans-serif" w:hAnsi="Google Sans Text;sans-serif"/>
              </w:rPr>
            </w:pPr>
            <w:r>
              <w:rPr>
                <w:rFonts w:ascii="Google Sans Text;sans-serif" w:hAnsi="Google Sans Text;sans-serif"/>
              </w:rPr>
              <w:t>Resilient Redundancy Architecture</w:t>
            </w:r>
          </w:p>
        </w:tc>
        <w:tc>
          <w:tcPr>
            <w:tcW w:w="594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3" w:before="0" w:after="140"/>
              <w:ind w:hanging="0" w:left="0" w:right="0"/>
              <w:rPr>
                <w:rFonts w:ascii="Google Sans Text;sans-serif" w:hAnsi="Google Sans Text;sans-serif"/>
              </w:rPr>
            </w:pPr>
            <w:r>
              <w:rPr>
                <w:rFonts w:ascii="Google Sans Text;sans-serif" w:hAnsi="Google Sans Text;sans-serif"/>
              </w:rPr>
              <w:t>Physically isolate external backup media. Establish an offline, immutable, or cloud-replicated air-gapped backup matrix.</w:t>
            </w:r>
          </w:p>
        </w:tc>
      </w:tr>
    </w:tbl>
    <w:p>
      <w:pPr>
        <w:pStyle w:val="Heading4"/>
        <w:spacing w:lineRule="auto" w:line="273" w:before="0" w:after="140"/>
        <w:ind w:hanging="0" w:left="0" w:right="0"/>
        <w:rPr>
          <w:rFonts w:ascii="Google Sans;sans-serif" w:hAnsi="Google Sans;sans-serif"/>
        </w:rPr>
      </w:pPr>
      <w:r>
        <w:rPr>
          <w:rFonts w:ascii="Google Sans;sans-serif" w:hAnsi="Google Sans;sans-serif"/>
        </w:rPr>
        <w:t>Phase 2: Operational Stabilization (31 – 90 Days)</w:t>
      </w:r>
    </w:p>
    <w:p>
      <w:pPr>
        <w:pStyle w:val="BodyText"/>
        <w:spacing w:lineRule="auto" w:line="273" w:before="0" w:after="140"/>
        <w:ind w:hanging="0" w:left="0" w:right="0"/>
        <w:rPr>
          <w:rFonts w:ascii="Google Sans Text;sans-serif" w:hAnsi="Google Sans Text;sans-serif"/>
          <w:i/>
        </w:rPr>
      </w:pPr>
      <w:r>
        <w:rPr>
          <w:rFonts w:ascii="Google Sans Text;sans-serif" w:hAnsi="Google Sans Text;sans-serif"/>
          <w:i/>
        </w:rPr>
        <w:t>Focus Area: Medium-Risk Treatment (Scores 3–6)</w:t>
      </w:r>
    </w:p>
    <w:tbl>
      <w:tblPr>
        <w:tblW w:w="9638" w:type="dxa"/>
        <w:jc w:val="left"/>
        <w:tblInd w:w="180" w:type="dxa"/>
        <w:tblLayout w:type="fixed"/>
        <w:tblCellMar>
          <w:top w:w="120" w:type="dxa"/>
          <w:left w:w="180" w:type="dxa"/>
          <w:bottom w:w="120" w:type="dxa"/>
          <w:right w:w="180" w:type="dxa"/>
        </w:tblCellMar>
      </w:tblPr>
      <w:tblGrid>
        <w:gridCol w:w="1025"/>
        <w:gridCol w:w="2526"/>
        <w:gridCol w:w="6087"/>
      </w:tblGrid>
      <w:tr>
        <w:trPr>
          <w:tblHeader w:val="true"/>
        </w:trPr>
        <w:tc>
          <w:tcPr>
            <w:tcW w:w="102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3" w:before="0" w:after="0"/>
              <w:ind w:hanging="0" w:left="0" w:right="0"/>
              <w:rPr/>
            </w:pPr>
            <w:r>
              <w:rPr>
                <w:rStyle w:val="Strong"/>
                <w:rFonts w:ascii="Google Sans Text;sans-serif" w:hAnsi="Google Sans Text;sans-serif"/>
              </w:rPr>
              <w:t>Priority</w:t>
            </w:r>
          </w:p>
        </w:tc>
        <w:tc>
          <w:tcPr>
            <w:tcW w:w="2526"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3" w:before="0" w:after="0"/>
              <w:ind w:hanging="0" w:left="0" w:right="0"/>
              <w:rPr/>
            </w:pPr>
            <w:r>
              <w:rPr>
                <w:rStyle w:val="Strong"/>
                <w:rFonts w:ascii="Google Sans Text;sans-serif" w:hAnsi="Google Sans Text;sans-serif"/>
              </w:rPr>
              <w:t>Targeted Security Control Objective</w:t>
            </w:r>
          </w:p>
        </w:tc>
        <w:tc>
          <w:tcPr>
            <w:tcW w:w="6087"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3" w:before="0" w:after="0"/>
              <w:ind w:hanging="0" w:left="0" w:right="0"/>
              <w:rPr/>
            </w:pPr>
            <w:r>
              <w:rPr>
                <w:rStyle w:val="Strong"/>
                <w:rFonts w:ascii="Google Sans Text;sans-serif" w:hAnsi="Google Sans Text;sans-serif"/>
              </w:rPr>
              <w:t>Action Plan Requirements</w:t>
            </w:r>
          </w:p>
        </w:tc>
      </w:tr>
      <w:tr>
        <w:trPr/>
        <w:tc>
          <w:tcPr>
            <w:tcW w:w="102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3" w:before="0" w:after="140"/>
              <w:ind w:hanging="0" w:left="0" w:right="0"/>
              <w:rPr>
                <w:rFonts w:ascii="Google Sans Text;sans-serif" w:hAnsi="Google Sans Text;sans-serif"/>
                <w:b/>
              </w:rPr>
            </w:pPr>
            <w:r>
              <w:rPr>
                <w:rFonts w:ascii="Google Sans Text;sans-serif" w:hAnsi="Google Sans Text;sans-serif"/>
                <w:b/>
              </w:rPr>
              <w:t>2.1</w:t>
            </w:r>
          </w:p>
        </w:tc>
        <w:tc>
          <w:tcPr>
            <w:tcW w:w="2526"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3" w:before="0" w:after="140"/>
              <w:ind w:hanging="0" w:left="0" w:right="0"/>
              <w:rPr>
                <w:rFonts w:ascii="Google Sans Text;sans-serif" w:hAnsi="Google Sans Text;sans-serif"/>
              </w:rPr>
            </w:pPr>
            <w:r>
              <w:rPr>
                <w:rFonts w:ascii="Google Sans Text;sans-serif" w:hAnsi="Google Sans Text;sans-serif"/>
              </w:rPr>
              <w:t>Credential Policy Enforcement</w:t>
            </w:r>
          </w:p>
        </w:tc>
        <w:tc>
          <w:tcPr>
            <w:tcW w:w="6087"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3" w:before="0" w:after="140"/>
              <w:ind w:hanging="0" w:left="0" w:right="0"/>
              <w:rPr>
                <w:rFonts w:ascii="Google Sans Text;sans-serif" w:hAnsi="Google Sans Text;sans-serif"/>
              </w:rPr>
            </w:pPr>
            <w:r>
              <w:rPr>
                <w:rFonts w:ascii="Google Sans Text;sans-serif" w:hAnsi="Google Sans Text;sans-serif"/>
              </w:rPr>
              <w:t>Draft and enforce an Enterprise Password Policy requiring a minimum of 14 characters and mandatory 60-day rotations.</w:t>
            </w:r>
          </w:p>
        </w:tc>
      </w:tr>
      <w:tr>
        <w:trPr/>
        <w:tc>
          <w:tcPr>
            <w:tcW w:w="102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3" w:before="0" w:after="140"/>
              <w:ind w:hanging="0" w:left="0" w:right="0"/>
              <w:rPr>
                <w:rFonts w:ascii="Google Sans Text;sans-serif" w:hAnsi="Google Sans Text;sans-serif"/>
                <w:b/>
              </w:rPr>
            </w:pPr>
            <w:r>
              <w:rPr>
                <w:rFonts w:ascii="Google Sans Text;sans-serif" w:hAnsi="Google Sans Text;sans-serif"/>
                <w:b/>
              </w:rPr>
              <w:t>2.2</w:t>
            </w:r>
          </w:p>
        </w:tc>
        <w:tc>
          <w:tcPr>
            <w:tcW w:w="2526"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3" w:before="0" w:after="140"/>
              <w:ind w:hanging="0" w:left="0" w:right="0"/>
              <w:rPr>
                <w:rFonts w:ascii="Google Sans Text;sans-serif" w:hAnsi="Google Sans Text;sans-serif"/>
              </w:rPr>
            </w:pPr>
            <w:r>
              <w:rPr>
                <w:rFonts w:ascii="Google Sans Text;sans-serif" w:hAnsi="Google Sans Text;sans-serif"/>
              </w:rPr>
              <w:t>Defensive Logging Retention</w:t>
            </w:r>
          </w:p>
        </w:tc>
        <w:tc>
          <w:tcPr>
            <w:tcW w:w="6087"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3" w:before="0" w:after="140"/>
              <w:ind w:hanging="0" w:left="0" w:right="0"/>
              <w:rPr>
                <w:rFonts w:ascii="Google Sans Text;sans-serif" w:hAnsi="Google Sans Text;sans-serif"/>
              </w:rPr>
            </w:pPr>
            <w:r>
              <w:rPr>
                <w:rFonts w:ascii="Google Sans Text;sans-serif" w:hAnsi="Google Sans Text;sans-serif"/>
              </w:rPr>
              <w:t>Establish centralized syslog forwarding to an immutable, cloud-hosted repository to preserve historical audit trails prior to the 30-day overwrite cycle.</w:t>
            </w:r>
          </w:p>
        </w:tc>
      </w:tr>
      <w:tr>
        <w:trPr/>
        <w:tc>
          <w:tcPr>
            <w:tcW w:w="102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3" w:before="0" w:after="140"/>
              <w:ind w:hanging="0" w:left="0" w:right="0"/>
              <w:rPr>
                <w:rFonts w:ascii="Google Sans Text;sans-serif" w:hAnsi="Google Sans Text;sans-serif"/>
                <w:b/>
              </w:rPr>
            </w:pPr>
            <w:r>
              <w:rPr>
                <w:rFonts w:ascii="Google Sans Text;sans-serif" w:hAnsi="Google Sans Text;sans-serif"/>
                <w:b/>
              </w:rPr>
              <w:t>2.3</w:t>
            </w:r>
          </w:p>
        </w:tc>
        <w:tc>
          <w:tcPr>
            <w:tcW w:w="2526"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3" w:before="0" w:after="140"/>
              <w:ind w:hanging="0" w:left="0" w:right="0"/>
              <w:rPr>
                <w:rFonts w:ascii="Google Sans Text;sans-serif" w:hAnsi="Google Sans Text;sans-serif"/>
              </w:rPr>
            </w:pPr>
            <w:r>
              <w:rPr>
                <w:rFonts w:ascii="Google Sans Text;sans-serif" w:hAnsi="Google Sans Text;sans-serif"/>
              </w:rPr>
              <w:t>Supply Chain Risk Management</w:t>
            </w:r>
          </w:p>
        </w:tc>
        <w:tc>
          <w:tcPr>
            <w:tcW w:w="6087"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3" w:before="0" w:after="140"/>
              <w:ind w:hanging="0" w:left="0" w:right="0"/>
              <w:rPr>
                <w:rFonts w:ascii="Google Sans Text;sans-serif" w:hAnsi="Google Sans Text;sans-serif"/>
              </w:rPr>
            </w:pPr>
            <w:r>
              <w:rPr>
                <w:rFonts w:ascii="Google Sans Text;sans-serif" w:hAnsi="Google Sans Text;sans-serif"/>
              </w:rPr>
              <w:t>Conduct comprehensive vendor due diligence on the LogiCloud SaaS platform, requiring a formal SOC 2 Type II audit review.</w:t>
            </w:r>
          </w:p>
        </w:tc>
      </w:tr>
      <w:tr>
        <w:trPr/>
        <w:tc>
          <w:tcPr>
            <w:tcW w:w="102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3" w:before="0" w:after="140"/>
              <w:ind w:hanging="0" w:left="0" w:right="0"/>
              <w:rPr>
                <w:rFonts w:ascii="Google Sans Text;sans-serif" w:hAnsi="Google Sans Text;sans-serif"/>
                <w:b/>
              </w:rPr>
            </w:pPr>
            <w:r>
              <w:rPr>
                <w:rFonts w:ascii="Google Sans Text;sans-serif" w:hAnsi="Google Sans Text;sans-serif"/>
                <w:b/>
              </w:rPr>
              <w:t>2.4</w:t>
            </w:r>
          </w:p>
        </w:tc>
        <w:tc>
          <w:tcPr>
            <w:tcW w:w="2526"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3" w:before="0" w:after="140"/>
              <w:ind w:hanging="0" w:left="0" w:right="0"/>
              <w:rPr>
                <w:rFonts w:ascii="Google Sans Text;sans-serif" w:hAnsi="Google Sans Text;sans-serif"/>
              </w:rPr>
            </w:pPr>
            <w:r>
              <w:rPr>
                <w:rFonts w:ascii="Google Sans Text;sans-serif" w:hAnsi="Google Sans Text;sans-serif"/>
              </w:rPr>
              <w:t>Human-Centric Security Hygiene</w:t>
            </w:r>
          </w:p>
        </w:tc>
        <w:tc>
          <w:tcPr>
            <w:tcW w:w="6087"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3" w:before="0" w:after="140"/>
              <w:ind w:hanging="0" w:left="0" w:right="0"/>
              <w:rPr>
                <w:rFonts w:ascii="Google Sans Text;sans-serif" w:hAnsi="Google Sans Text;sans-serif"/>
              </w:rPr>
            </w:pPr>
            <w:r>
              <w:rPr>
                <w:rFonts w:ascii="Google Sans Text;sans-serif" w:hAnsi="Google Sans Text;sans-serif"/>
              </w:rPr>
              <w:t>Initiate mandatory baseline Security Awareness Training (SAT) programs focusing on phishing indicators and reporting expectations.</w:t>
            </w:r>
          </w:p>
        </w:tc>
      </w:tr>
    </w:tbl>
    <w:p>
      <w:pPr>
        <w:pStyle w:val="BodyText"/>
        <w:bidi w:val="0"/>
        <w:spacing w:before="0" w:after="140"/>
        <w:jc w:val="center"/>
        <w:rPr>
          <w:b/>
          <w:bCs/>
          <w:sz w:val="48"/>
          <w:szCs w:val="48"/>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font>
  <w:font w:name="Liberation Mono">
    <w:altName w:val="Courier New"/>
    <w:charset w:val="01"/>
    <w:family w:val="modern"/>
    <w:pitch w:val="fixed"/>
  </w:font>
  <w:font w:name="Liberation Sans">
    <w:altName w:val="Arial"/>
    <w:charset w:val="01"/>
    <w:family w:val="roman"/>
    <w:pitch w:val="variable"/>
  </w:font>
  <w:font w:name="Google Sans">
    <w:altName w:val="sans-serif"/>
    <w:charset w:val="01"/>
    <w:family w:val="auto"/>
    <w:pitch w:val="default"/>
  </w:font>
  <w:font w:name="Google Sans Text">
    <w:altName w:val="sans-serif"/>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Free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FreeSans"/>
      <w:b/>
      <w:bCs/>
      <w:sz w:val="48"/>
      <w:szCs w:val="48"/>
    </w:rPr>
  </w:style>
  <w:style w:type="paragraph" w:styleId="Heading3">
    <w:name w:val="Heading 3"/>
    <w:basedOn w:val="Heading"/>
    <w:next w:val="BodyText"/>
    <w:qFormat/>
    <w:pPr>
      <w:spacing w:before="140" w:after="120"/>
      <w:outlineLvl w:val="2"/>
    </w:pPr>
    <w:rPr>
      <w:rFonts w:ascii="Liberation Serif" w:hAnsi="Liberation Serif" w:eastAsia="Noto Serif CJK SC" w:cs="FreeSans"/>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FreeSans"/>
      <w:b/>
      <w:bCs/>
      <w:sz w:val="24"/>
      <w:szCs w:val="24"/>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lockQuotation">
    <w:name w:val="Block Quotation"/>
    <w:basedOn w:val="Normal"/>
    <w:qFormat/>
    <w:pPr>
      <w:spacing w:before="0" w:after="283"/>
      <w:ind w:hanging="0" w:left="567" w:right="567"/>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LibreOffice/24.2.7.2$Linux_X86_64 LibreOffice_project/420$Build-2</Application>
  <AppVersion>15.0000</AppVersion>
  <Pages>4</Pages>
  <Words>896</Words>
  <Characters>6007</Characters>
  <CharactersWithSpaces>6809</CharactersWithSpaces>
  <Paragraphs>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2026-07-02T15:08:00Z</dcterms:created>
  <dc:creator/>
  <dc:description/>
  <dc:language>en-US</dc:language>
  <cp:lastModifiedBy/>
  <dcterms:modified xsi:type="dcterms:W3CDTF">2026-07-02T15:43:40Z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