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i w:val="0"/>
          <w:color w:val="1F3B63"/>
          <w:sz w:val="52"/>
        </w:rPr>
        <w:t>INFLUENCE RUSSE</w:t>
      </w:r>
    </w:p>
    <w:p>
      <w:pPr>
        <w:jc w:val="center"/>
      </w:pPr>
      <w:r>
        <w:rPr>
          <w:b w:val="0"/>
          <w:i/>
          <w:color w:val="1F3B63"/>
          <w:sz w:val="28"/>
        </w:rPr>
        <w:t>Comment elle pense, comment elle opère, comment on la cartographie</w:t>
      </w:r>
    </w:p>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Objet</w:t>
            </w:r>
          </w:p>
          <w:p>
            <w:pPr>
              <w:spacing w:after="40"/>
            </w:pPr>
            <w:r>
              <w:rPr>
                <w:sz w:val="20"/>
              </w:rPr>
              <w:t>Grille de lecture de la logique d'influence russe et méthode pratique pour identifier, dans un paysage médiatique national, les pressions exercées sur les acteurs et les relais possibles.</w:t>
            </w:r>
          </w:p>
          <w:p>
            <w:pPr>
              <w:spacing w:after="40"/>
            </w:pPr>
            <w:r>
              <w:rPr>
                <w:sz w:val="20"/>
              </w:rPr>
            </w:r>
          </w:p>
          <w:p>
            <w:pPr>
              <w:spacing w:after="40"/>
            </w:pPr>
            <w:r>
              <w:rPr>
                <w:sz w:val="20"/>
              </w:rPr>
              <w:t>Terrain d'application immédiat : la Lituanie. Puis la Pologne et la Biélorussie.</w:t>
            </w:r>
          </w:p>
        </w:tc>
      </w:tr>
    </w:tbl>
    <w:p>
      <w:pPr>
        <w:spacing w:after="40"/>
      </w:pPr>
    </w:p>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DCE4F0"/>
          </w:tcPr>
          <w:p>
            <w:pPr>
              <w:spacing w:after="40"/>
            </w:pPr>
            <w:r>
              <w:rPr>
                <w:b/>
                <w:color w:val="1F3B63"/>
                <w:sz w:val="19"/>
              </w:rPr>
              <w:t>Élément</w:t>
            </w:r>
          </w:p>
        </w:tc>
        <w:tc>
          <w:tcPr>
            <w:tcW w:type="dxa" w:w="7257"/>
            <w:shd w:val="clear" w:color="auto" w:fill="DCE4F0"/>
          </w:tcPr>
          <w:p>
            <w:pPr>
              <w:spacing w:after="40"/>
            </w:pPr>
            <w:r>
              <w:rPr>
                <w:b/>
                <w:color w:val="1F3B63"/>
                <w:sz w:val="19"/>
              </w:rPr>
              <w:t>Détail</w:t>
            </w:r>
          </w:p>
        </w:tc>
      </w:tr>
      <w:tr>
        <w:tc>
          <w:tcPr>
            <w:tcW w:type="dxa" w:w="2041"/>
          </w:tcPr>
          <w:p>
            <w:pPr>
              <w:spacing w:after="40"/>
            </w:pPr>
            <w:r>
              <w:rPr>
                <w:b/>
                <w:sz w:val="19"/>
              </w:rPr>
              <w:t>Destinataire</w:t>
            </w:r>
          </w:p>
        </w:tc>
        <w:tc>
          <w:tcPr>
            <w:tcW w:type="dxa" w:w="7257"/>
          </w:tcPr>
          <w:p>
            <w:pPr>
              <w:spacing w:after="40"/>
            </w:pPr>
            <w:r>
              <w:rPr>
                <w:b w:val="0"/>
                <w:sz w:val="19"/>
              </w:rPr>
              <w:t>Chargé de recherche sur les acteurs du paysage médiatique (Lituanie, puis Pologne, Biélorussie)</w:t>
            </w:r>
          </w:p>
        </w:tc>
      </w:tr>
      <w:tr>
        <w:tc>
          <w:tcPr>
            <w:tcW w:type="dxa" w:w="2041"/>
            <w:shd w:val="clear" w:color="auto" w:fill="F2F2F2"/>
          </w:tcPr>
          <w:p>
            <w:pPr>
              <w:spacing w:after="40"/>
            </w:pPr>
            <w:r>
              <w:rPr>
                <w:b/>
                <w:sz w:val="19"/>
              </w:rPr>
              <w:t>Origine</w:t>
            </w:r>
          </w:p>
        </w:tc>
        <w:tc>
          <w:tcPr>
            <w:tcW w:type="dxa" w:w="7257"/>
            <w:shd w:val="clear" w:color="auto" w:fill="F2F2F2"/>
          </w:tcPr>
          <w:p>
            <w:pPr>
              <w:spacing w:after="40"/>
            </w:pPr>
            <w:r>
              <w:rPr>
                <w:b w:val="0"/>
                <w:sz w:val="19"/>
              </w:rPr>
              <w:t>Fonds doctrinal du CECPC — synthèse des références accumulées pour l'entraînement des postes de commandement</w:t>
            </w:r>
          </w:p>
        </w:tc>
      </w:tr>
      <w:tr>
        <w:tc>
          <w:tcPr>
            <w:tcW w:type="dxa" w:w="2041"/>
          </w:tcPr>
          <w:p>
            <w:pPr>
              <w:spacing w:after="40"/>
            </w:pPr>
            <w:r>
              <w:rPr>
                <w:b/>
                <w:sz w:val="19"/>
              </w:rPr>
              <w:t>Nature des sources</w:t>
            </w:r>
          </w:p>
        </w:tc>
        <w:tc>
          <w:tcPr>
            <w:tcW w:type="dxa" w:w="7257"/>
          </w:tcPr>
          <w:p>
            <w:pPr>
              <w:spacing w:after="40"/>
            </w:pPr>
            <w:r>
              <w:rPr>
                <w:b w:val="0"/>
                <w:sz w:val="19"/>
              </w:rPr>
              <w:t>Sources ouvertes uniquement : rapports publics VIGINUM / SGDSN (TLP:CLEAR), littérature institutionnelle et académique</w:t>
            </w:r>
          </w:p>
        </w:tc>
      </w:tr>
      <w:tr>
        <w:tc>
          <w:tcPr>
            <w:tcW w:type="dxa" w:w="2041"/>
            <w:shd w:val="clear" w:color="auto" w:fill="F2F2F2"/>
          </w:tcPr>
          <w:p>
            <w:pPr>
              <w:spacing w:after="40"/>
            </w:pPr>
            <w:r>
              <w:rPr>
                <w:b/>
                <w:sz w:val="19"/>
              </w:rPr>
              <w:t>Date</w:t>
            </w:r>
          </w:p>
        </w:tc>
        <w:tc>
          <w:tcPr>
            <w:tcW w:type="dxa" w:w="7257"/>
            <w:shd w:val="clear" w:color="auto" w:fill="F2F2F2"/>
          </w:tcPr>
          <w:p>
            <w:pPr>
              <w:spacing w:after="40"/>
            </w:pPr>
            <w:r>
              <w:rPr>
                <w:b w:val="0"/>
                <w:sz w:val="19"/>
              </w:rPr>
              <w:t>22 septembre 2026</w:t>
            </w:r>
          </w:p>
        </w:tc>
      </w:tr>
      <w:tr>
        <w:tc>
          <w:tcPr>
            <w:tcW w:type="dxa" w:w="2041"/>
          </w:tcPr>
          <w:p>
            <w:pPr>
              <w:spacing w:after="40"/>
            </w:pPr>
            <w:r>
              <w:rPr>
                <w:b/>
                <w:sz w:val="19"/>
              </w:rPr>
              <w:t>Marquage</w:t>
            </w:r>
          </w:p>
        </w:tc>
        <w:tc>
          <w:tcPr>
            <w:tcW w:type="dxa" w:w="7257"/>
          </w:tcPr>
          <w:p>
            <w:pPr>
              <w:spacing w:after="40"/>
            </w:pPr>
            <w:r>
              <w:rPr>
                <w:b w:val="0"/>
                <w:sz w:val="19"/>
              </w:rPr>
              <w:t>Non protégé — diffusion libre</w:t>
            </w:r>
          </w:p>
        </w:tc>
      </w:tr>
    </w:tbl>
    <w:p>
      <w:pPr>
        <w:spacing w:after="40"/>
      </w:pPr>
    </w:p>
    <w:p/>
    <w:tbl>
      <w:tblPr>
        <w:tblStyle w:val="TableGrid"/>
        <w:tblW w:type="auto" w:w="0"/>
        <w:jc w:val="center"/>
        <w:tblLook w:firstColumn="1" w:firstRow="1" w:lastColumn="0" w:lastRow="0" w:noHBand="0" w:noVBand="1" w:val="04A0"/>
      </w:tblPr>
      <w:tblGrid>
        <w:gridCol w:w="9746"/>
      </w:tblGrid>
      <w:tr>
        <w:tc>
          <w:tcPr>
            <w:tcW w:type="dxa" w:w="9746"/>
            <w:shd w:val="clear" w:color="auto" w:fill="F7E7E7"/>
          </w:tcPr>
          <w:p>
            <w:r/>
            <w:r>
              <w:rPr>
                <w:b/>
                <w:color w:val="1F3B63"/>
                <w:sz w:val="21"/>
              </w:rPr>
              <w:t>Trois avertissements avant de lire</w:t>
            </w:r>
          </w:p>
          <w:p>
            <w:pPr>
              <w:spacing w:after="40"/>
            </w:pPr>
            <w:r>
              <w:rPr>
                <w:sz w:val="20"/>
              </w:rPr>
              <w:t>1. Ce document décrit des MÉTHODES documentées, pas des cas nationaux fermés. Il donne des questions à poser et des endroits où regarder, jamais des conclusions toutes faites sur des personnes.</w:t>
            </w:r>
          </w:p>
          <w:p>
            <w:pPr>
              <w:spacing w:after="40"/>
            </w:pPr>
            <w:r>
              <w:rPr>
                <w:sz w:val="20"/>
              </w:rPr>
            </w:r>
          </w:p>
          <w:p>
            <w:pPr>
              <w:spacing w:after="40"/>
            </w:pPr>
            <w:r>
              <w:rPr>
                <w:sz w:val="20"/>
              </w:rPr>
              <w:t>2. Nommer quelqu'un « relais » engage. Tout ce qui suit sert à formuler des hypothèses vérifiables, pas à désigner des coupables. La partie 7 liste les erreurs qui coûtent le plus cher.</w:t>
            </w:r>
          </w:p>
          <w:p>
            <w:pPr>
              <w:spacing w:after="40"/>
            </w:pPr>
            <w:r>
              <w:rPr>
                <w:sz w:val="20"/>
              </w:rPr>
            </w:r>
          </w:p>
          <w:p>
            <w:pPr>
              <w:spacing w:after="40"/>
            </w:pPr>
            <w:r>
              <w:rPr>
                <w:sz w:val="20"/>
              </w:rPr>
              <w:t>3. Le corpus d'origine sert à des exercices militaires qui mettent en scène des pays FICTIFS. Rien de cette fiction ne figure ici, et rien ne doit être importé dans une recherche réelle.</w:t>
            </w:r>
          </w:p>
        </w:tc>
      </w:tr>
    </w:tbl>
    <w:p>
      <w:pPr>
        <w:spacing w:after="40"/>
      </w:pPr>
    </w:p>
    <w:p>
      <w:r>
        <w:br w:type="page"/>
      </w:r>
    </w:p>
    <w:p>
      <w:pPr>
        <w:pStyle w:val="Heading1"/>
      </w:pPr>
      <w:r>
        <w:t>1. Les sept idées à retenir</w:t>
      </w:r>
    </w:p>
    <w:p>
      <w:r>
        <w:rPr>
          <w:b w:val="0"/>
          <w:i/>
        </w:rPr>
        <w:t>Si vous ne devez garder qu'une page, gardez celle-ci.</w:t>
      </w:r>
    </w:p>
    <w:p>
      <w:pPr>
        <w:pStyle w:val="ListNumber"/>
      </w:pPr>
      <w:r>
        <w:rPr>
          <w:b/>
        </w:rPr>
        <w:t xml:space="preserve">L'objectif n'est pas de convaincre. </w:t>
      </w:r>
      <w:r>
        <w:t>Il est de désorienter, saturer, faire douter, polariser. Un dispositif d'influence réussi ne produit pas une opinion majoritaire : il produit une population qui ne sait plus à quoi se fier et un débat public fracturé. L'effet est cumulatif et diffus, jamais ponctuel, ce qui le rend difficile à mesurer et facile à sous-estimer.</w:t>
      </w:r>
    </w:p>
    <w:p>
      <w:pPr>
        <w:pStyle w:val="ListNumber"/>
      </w:pPr>
      <w:r>
        <w:rPr>
          <w:b/>
        </w:rPr>
        <w:t xml:space="preserve">La matière première est vraie. </w:t>
      </w:r>
      <w:r>
        <w:t>C'est le principe du noyau de vérité : l'essentiel d'un contenu est vérifiable, la falsification ne porte que sur un point. On n'invente pas une fracture, on amplifie celle qui existe. Conséquence directe pour votre travail : cartographiez d'abord les vraies fractures du pays, ce sont les portes d'entrée, et elles se repèrent avant toute opération.</w:t>
      </w:r>
    </w:p>
    <w:p>
      <w:pPr>
        <w:pStyle w:val="ListNumber"/>
      </w:pPr>
      <w:r>
        <w:rPr>
          <w:b/>
        </w:rPr>
        <w:t xml:space="preserve">Rien n'est direct. </w:t>
      </w:r>
      <w:r>
        <w:t>Le déni plausible est organisé en couches : au moins deux intermédiaires séparent le commanditaire du contenu. L'objet intéressant n'est donc pas le contenu lui-même, mais la chaîne qui l'a porté. Qui l'a publié en premier, qui l'a rendu respectable, qui l'a massifié, qui l'a repris.</w:t>
      </w:r>
    </w:p>
    <w:p>
      <w:pPr>
        <w:pStyle w:val="ListNumber"/>
      </w:pPr>
      <w:r>
        <w:rPr>
          <w:b/>
        </w:rPr>
        <w:t xml:space="preserve">Le contenu est localisé. </w:t>
      </w:r>
      <w:r>
        <w:t>Langue, codes culturels, griefs locaux, noms de lieux, références historiques : une campagne efficace est presque indiscernable d'un débat national authentique. Cherchez les infimes décalages, une tournure traduite, une date qui ne colle pas, un grief formulé comme un étranger le formulerait.</w:t>
      </w:r>
    </w:p>
    <w:p>
      <w:pPr>
        <w:pStyle w:val="ListNumber"/>
      </w:pPr>
      <w:r>
        <w:rPr>
          <w:b/>
        </w:rPr>
        <w:t xml:space="preserve">C'est industriel et pré-positionné. </w:t>
      </w:r>
      <w:r>
        <w:t>Les sites sont enregistrés des années avant d'être utilisés, les comptes sont achetés en lots, les réseaux d'influenceurs rémunérés sont permanents. Autrement dit, ce qui servira demain existe déjà aujourd'hui et peut se documenter à froid, avant toute crise.</w:t>
      </w:r>
    </w:p>
    <w:p>
      <w:pPr>
        <w:pStyle w:val="ListNumber"/>
      </w:pPr>
      <w:r>
        <w:rPr>
          <w:b/>
        </w:rPr>
        <w:t xml:space="preserve">Un relais n'est pas forcément un complice. </w:t>
      </w:r>
      <w:r>
        <w:t>Il y a au moins quatre statuts : rémunéré, idéologique, opportuniste, involontaire. Les confondre est l'erreur la plus coûteuse, pour la justesse de l'analyse comme pour les personnes concernées.</w:t>
      </w:r>
    </w:p>
    <w:p>
      <w:pPr>
        <w:pStyle w:val="ListNumber"/>
      </w:pPr>
      <w:r>
        <w:rPr>
          <w:b/>
        </w:rPr>
        <w:t xml:space="preserve">Deux critères séparent une opération d'une opinion. </w:t>
      </w:r>
      <w:r>
        <w:t>La clandestinité, c'est-à-dire des efforts démontrables pour masquer les liens, et la coordination, c'est-à-dire des actifs employés de concert. Sans les deux, on a affaire à un acteur bruyant, pas à un dispositif organisé. Ces deux critères sont la définition de travail retenue par VIGINUM, et la meilleure protection contre l'emballement.</w:t>
      </w:r>
    </w:p>
    <w:p>
      <w:pPr>
        <w:pStyle w:val="Heading1"/>
      </w:pPr>
      <w:r>
        <w:t>2. Comment l'influence russe pense</w:t>
      </w:r>
    </w:p>
    <w:p>
      <w:pPr>
        <w:pStyle w:val="Heading2"/>
      </w:pPr>
      <w:r>
        <w:t>2.1 Cinq principes opératoires</w:t>
      </w:r>
    </w:p>
    <w:p>
      <w:r>
        <w:rPr>
          <w:b w:val="0"/>
          <w:i w:val="0"/>
        </w:rPr>
        <w:t>Ce sont les constantes relevées sur plusieurs années d'opérations documentées publiquement. Elles valent quel que soit le pays visé, et c'est ce qui les rend utilisables comme grille.</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DCE4F0"/>
          </w:tcPr>
          <w:p>
            <w:pPr>
              <w:spacing w:after="40"/>
            </w:pPr>
            <w:r>
              <w:rPr>
                <w:b/>
                <w:color w:val="1F3B63"/>
                <w:sz w:val="19"/>
              </w:rPr>
              <w:t>Principe</w:t>
            </w:r>
          </w:p>
        </w:tc>
        <w:tc>
          <w:tcPr>
            <w:tcW w:type="dxa" w:w="3628"/>
            <w:shd w:val="clear" w:color="auto" w:fill="DCE4F0"/>
          </w:tcPr>
          <w:p>
            <w:pPr>
              <w:spacing w:after="40"/>
            </w:pPr>
            <w:r>
              <w:rPr>
                <w:b/>
                <w:color w:val="1F3B63"/>
                <w:sz w:val="19"/>
              </w:rPr>
              <w:t>Ce que cela signifie</w:t>
            </w:r>
          </w:p>
        </w:tc>
        <w:tc>
          <w:tcPr>
            <w:tcW w:type="dxa" w:w="3628"/>
            <w:shd w:val="clear" w:color="auto" w:fill="DCE4F0"/>
          </w:tcPr>
          <w:p>
            <w:pPr>
              <w:spacing w:after="40"/>
            </w:pPr>
            <w:r>
              <w:rPr>
                <w:b/>
                <w:color w:val="1F3B63"/>
                <w:sz w:val="19"/>
              </w:rPr>
              <w:t>Ce que cela vous donne à chercher</w:t>
            </w:r>
          </w:p>
        </w:tc>
      </w:tr>
      <w:tr>
        <w:tc>
          <w:tcPr>
            <w:tcW w:type="dxa" w:w="2041"/>
          </w:tcPr>
          <w:p>
            <w:pPr>
              <w:spacing w:after="40"/>
            </w:pPr>
            <w:r>
              <w:rPr>
                <w:b/>
                <w:sz w:val="19"/>
              </w:rPr>
              <w:t>Déni plausible en couches</w:t>
            </w:r>
          </w:p>
        </w:tc>
        <w:tc>
          <w:tcPr>
            <w:tcW w:type="dxa" w:w="3628"/>
          </w:tcPr>
          <w:p>
            <w:pPr>
              <w:spacing w:after="40"/>
            </w:pPr>
            <w:r>
              <w:rPr>
                <w:b w:val="0"/>
                <w:sz w:val="19"/>
              </w:rPr>
              <w:t>Jamais de lien direct entre l'État et l'opération : des relais financés, des médias tiers qui « rapportent », un réseau d'amplification inauthentique.</w:t>
            </w:r>
          </w:p>
        </w:tc>
        <w:tc>
          <w:tcPr>
            <w:tcW w:type="dxa" w:w="3628"/>
          </w:tcPr>
          <w:p>
            <w:pPr>
              <w:spacing w:after="40"/>
            </w:pPr>
            <w:r>
              <w:rPr>
                <w:b w:val="0"/>
                <w:sz w:val="19"/>
              </w:rPr>
              <w:t>Les intermédiaires, pas le commanditaire. Une chaîne opaque est en soi un indice.</w:t>
            </w:r>
          </w:p>
        </w:tc>
      </w:tr>
      <w:tr>
        <w:tc>
          <w:tcPr>
            <w:tcW w:type="dxa" w:w="2041"/>
            <w:shd w:val="clear" w:color="auto" w:fill="F2F2F2"/>
          </w:tcPr>
          <w:p>
            <w:pPr>
              <w:spacing w:after="40"/>
            </w:pPr>
            <w:r>
              <w:rPr>
                <w:b/>
                <w:sz w:val="19"/>
              </w:rPr>
              <w:t>Localisation</w:t>
            </w:r>
          </w:p>
        </w:tc>
        <w:tc>
          <w:tcPr>
            <w:tcW w:type="dxa" w:w="3628"/>
            <w:shd w:val="clear" w:color="auto" w:fill="F2F2F2"/>
          </w:tcPr>
          <w:p>
            <w:pPr>
              <w:spacing w:after="40"/>
            </w:pPr>
            <w:r>
              <w:rPr>
                <w:b w:val="0"/>
                <w:sz w:val="19"/>
              </w:rPr>
              <w:t>Chaque campagne est adaptée à la langue, aux codes et aux tensions préexistantes de la cible. Pas de propagande générique.</w:t>
            </w:r>
          </w:p>
        </w:tc>
        <w:tc>
          <w:tcPr>
            <w:tcW w:type="dxa" w:w="3628"/>
            <w:shd w:val="clear" w:color="auto" w:fill="F2F2F2"/>
          </w:tcPr>
          <w:p>
            <w:pPr>
              <w:spacing w:after="40"/>
            </w:pPr>
            <w:r>
              <w:rPr>
                <w:b w:val="0"/>
                <w:sz w:val="19"/>
              </w:rPr>
              <w:t>Qui fournit la localisation : traducteurs, rédacteurs locaux, « correspondants », agences de communication.</w:t>
            </w:r>
          </w:p>
        </w:tc>
      </w:tr>
      <w:tr>
        <w:tc>
          <w:tcPr>
            <w:tcW w:type="dxa" w:w="2041"/>
          </w:tcPr>
          <w:p>
            <w:pPr>
              <w:spacing w:after="40"/>
            </w:pPr>
            <w:r>
              <w:rPr>
                <w:b/>
                <w:sz w:val="19"/>
              </w:rPr>
              <w:t>Noyau de vérité</w:t>
            </w:r>
          </w:p>
        </w:tc>
        <w:tc>
          <w:tcPr>
            <w:tcW w:type="dxa" w:w="3628"/>
          </w:tcPr>
          <w:p>
            <w:pPr>
              <w:spacing w:after="40"/>
            </w:pPr>
            <w:r>
              <w:rPr>
                <w:b w:val="0"/>
                <w:sz w:val="19"/>
              </w:rPr>
              <w:t>Une large part de faits vérifiables, une falsification ponctuelle. Un vrai nom, un vrai lieu, un vrai document, un acte inventé.</w:t>
            </w:r>
          </w:p>
        </w:tc>
        <w:tc>
          <w:tcPr>
            <w:tcW w:type="dxa" w:w="3628"/>
          </w:tcPr>
          <w:p>
            <w:pPr>
              <w:spacing w:after="40"/>
            </w:pPr>
            <w:r>
              <w:rPr>
                <w:b w:val="0"/>
                <w:sz w:val="19"/>
              </w:rPr>
              <w:t>Le point exact où le vrai bascule dans le faux : c'est là que se lit l'intention.</w:t>
            </w:r>
          </w:p>
        </w:tc>
      </w:tr>
      <w:tr>
        <w:tc>
          <w:tcPr>
            <w:tcW w:type="dxa" w:w="2041"/>
            <w:shd w:val="clear" w:color="auto" w:fill="F2F2F2"/>
          </w:tcPr>
          <w:p>
            <w:pPr>
              <w:spacing w:after="40"/>
            </w:pPr>
            <w:r>
              <w:rPr>
                <w:b/>
                <w:sz w:val="19"/>
              </w:rPr>
              <w:t>Opportunisme événementiel</w:t>
            </w:r>
          </w:p>
        </w:tc>
        <w:tc>
          <w:tcPr>
            <w:tcW w:type="dxa" w:w="3628"/>
            <w:shd w:val="clear" w:color="auto" w:fill="F2F2F2"/>
          </w:tcPr>
          <w:p>
            <w:pPr>
              <w:spacing w:after="40"/>
            </w:pPr>
            <w:r>
              <w:rPr>
                <w:b w:val="0"/>
                <w:sz w:val="19"/>
              </w:rPr>
              <w:t>L'acteur ne crée pas toujours l'événement : il s'insère dans une discussion déjà ouverte, crise, accident, scandale, élection.</w:t>
            </w:r>
          </w:p>
        </w:tc>
        <w:tc>
          <w:tcPr>
            <w:tcW w:type="dxa" w:w="3628"/>
            <w:shd w:val="clear" w:color="auto" w:fill="F2F2F2"/>
          </w:tcPr>
          <w:p>
            <w:pPr>
              <w:spacing w:after="40"/>
            </w:pPr>
            <w:r>
              <w:rPr>
                <w:b w:val="0"/>
                <w:sz w:val="19"/>
              </w:rPr>
              <w:t>Les délais de réaction. Être le premier sur un événement, avant les faits établis, est un comportement, pas un hasard.</w:t>
            </w:r>
          </w:p>
        </w:tc>
      </w:tr>
      <w:tr>
        <w:tc>
          <w:tcPr>
            <w:tcW w:type="dxa" w:w="2041"/>
          </w:tcPr>
          <w:p>
            <w:pPr>
              <w:spacing w:after="40"/>
            </w:pPr>
            <w:r>
              <w:rPr>
                <w:b/>
                <w:sz w:val="19"/>
              </w:rPr>
              <w:t>Industrialisation</w:t>
            </w:r>
          </w:p>
        </w:tc>
        <w:tc>
          <w:tcPr>
            <w:tcW w:type="dxa" w:w="3628"/>
          </w:tcPr>
          <w:p>
            <w:pPr>
              <w:spacing w:after="40"/>
            </w:pPr>
            <w:r>
              <w:rPr>
                <w:b w:val="0"/>
                <w:sz w:val="19"/>
              </w:rPr>
              <w:t>Des systèmes durables : domaines dormants, influenceurs sous contrat, comptes achetés en lots, gabarits de sites variés pour échapper à la détection.</w:t>
            </w:r>
          </w:p>
        </w:tc>
        <w:tc>
          <w:tcPr>
            <w:tcW w:type="dxa" w:w="3628"/>
          </w:tcPr>
          <w:p>
            <w:pPr>
              <w:spacing w:after="40"/>
            </w:pPr>
            <w:r>
              <w:rPr>
                <w:b w:val="0"/>
                <w:sz w:val="19"/>
              </w:rPr>
              <w:t>L'infrastructure : dates d'enregistrement, hébergeurs, régies publicitaires, gabarits, recyclage d'images.</w:t>
            </w:r>
          </w:p>
        </w:tc>
      </w:tr>
    </w:tbl>
    <w:p>
      <w:pPr>
        <w:spacing w:after="40"/>
      </w:pPr>
    </w:p>
    <w:p>
      <w:pPr>
        <w:pStyle w:val="Heading2"/>
      </w:pPr>
      <w:r>
        <w:t>2.2 Les procédés, et leur signal observable</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DCE4F0"/>
          </w:tcPr>
          <w:p>
            <w:pPr>
              <w:spacing w:after="40"/>
            </w:pPr>
            <w:r>
              <w:rPr>
                <w:b/>
                <w:color w:val="1F3B63"/>
                <w:sz w:val="19"/>
              </w:rPr>
              <w:t>Procédé</w:t>
            </w:r>
          </w:p>
        </w:tc>
        <w:tc>
          <w:tcPr>
            <w:tcW w:type="dxa" w:w="3628"/>
            <w:shd w:val="clear" w:color="auto" w:fill="DCE4F0"/>
          </w:tcPr>
          <w:p>
            <w:pPr>
              <w:spacing w:after="40"/>
            </w:pPr>
            <w:r>
              <w:rPr>
                <w:b/>
                <w:color w:val="1F3B63"/>
                <w:sz w:val="19"/>
              </w:rPr>
              <w:t>Mécanisme</w:t>
            </w:r>
          </w:p>
        </w:tc>
        <w:tc>
          <w:tcPr>
            <w:tcW w:type="dxa" w:w="3628"/>
            <w:shd w:val="clear" w:color="auto" w:fill="DCE4F0"/>
          </w:tcPr>
          <w:p>
            <w:pPr>
              <w:spacing w:after="40"/>
            </w:pPr>
            <w:r>
              <w:rPr>
                <w:b/>
                <w:color w:val="1F3B63"/>
                <w:sz w:val="19"/>
              </w:rPr>
              <w:t>Signal observable</w:t>
            </w:r>
          </w:p>
        </w:tc>
      </w:tr>
      <w:tr>
        <w:tc>
          <w:tcPr>
            <w:tcW w:type="dxa" w:w="2041"/>
          </w:tcPr>
          <w:p>
            <w:pPr>
              <w:spacing w:after="40"/>
            </w:pPr>
            <w:r>
              <w:rPr>
                <w:b/>
                <w:sz w:val="19"/>
              </w:rPr>
              <w:t>Contrôle réflexif</w:t>
            </w:r>
          </w:p>
        </w:tc>
        <w:tc>
          <w:tcPr>
            <w:tcW w:type="dxa" w:w="3628"/>
          </w:tcPr>
          <w:p>
            <w:pPr>
              <w:spacing w:after="40"/>
            </w:pPr>
            <w:r>
              <w:rPr>
                <w:b w:val="0"/>
                <w:sz w:val="19"/>
              </w:rPr>
              <w:t>Façonner la perception de l'adversaire pour qu'il choisisse lui-même l'action qui sert l'attaquant et le délégitime.</w:t>
            </w:r>
          </w:p>
        </w:tc>
        <w:tc>
          <w:tcPr>
            <w:tcW w:type="dxa" w:w="3628"/>
          </w:tcPr>
          <w:p>
            <w:pPr>
              <w:spacing w:after="40"/>
            </w:pPr>
            <w:r>
              <w:rPr>
                <w:b w:val="0"/>
                <w:sz w:val="19"/>
              </w:rPr>
              <w:t>Un contenu conçu pour forcer une réaction coûteuse : démentir, se justifier, interdire, surréagir.</w:t>
            </w:r>
          </w:p>
        </w:tc>
      </w:tr>
      <w:tr>
        <w:tc>
          <w:tcPr>
            <w:tcW w:type="dxa" w:w="2041"/>
            <w:shd w:val="clear" w:color="auto" w:fill="F2F2F2"/>
          </w:tcPr>
          <w:p>
            <w:pPr>
              <w:spacing w:after="40"/>
            </w:pPr>
            <w:r>
              <w:rPr>
                <w:b/>
                <w:sz w:val="19"/>
              </w:rPr>
              <w:t>Saturation (firehose)</w:t>
            </w:r>
          </w:p>
        </w:tc>
        <w:tc>
          <w:tcPr>
            <w:tcW w:type="dxa" w:w="3628"/>
            <w:shd w:val="clear" w:color="auto" w:fill="F2F2F2"/>
          </w:tcPr>
          <w:p>
            <w:pPr>
              <w:spacing w:after="40"/>
            </w:pPr>
            <w:r>
              <w:rPr>
                <w:b w:val="0"/>
                <w:sz w:val="19"/>
              </w:rPr>
              <w:t>Volume, multicanal, rapidité, répétition, avec une indifférence assumée à la cohérence.</w:t>
            </w:r>
          </w:p>
        </w:tc>
        <w:tc>
          <w:tcPr>
            <w:tcW w:type="dxa" w:w="3628"/>
            <w:shd w:val="clear" w:color="auto" w:fill="F2F2F2"/>
          </w:tcPr>
          <w:p>
            <w:pPr>
              <w:spacing w:after="40"/>
            </w:pPr>
            <w:r>
              <w:rPr>
                <w:b w:val="0"/>
                <w:sz w:val="19"/>
              </w:rPr>
              <w:t>Pic soudain de publications ; versions incompatibles qui coexistent sans jamais se corriger.</w:t>
            </w:r>
          </w:p>
        </w:tc>
      </w:tr>
      <w:tr>
        <w:tc>
          <w:tcPr>
            <w:tcW w:type="dxa" w:w="2041"/>
          </w:tcPr>
          <w:p>
            <w:pPr>
              <w:spacing w:after="40"/>
            </w:pPr>
            <w:r>
              <w:rPr>
                <w:b/>
                <w:sz w:val="19"/>
              </w:rPr>
              <w:t>Les quatre D</w:t>
            </w:r>
          </w:p>
        </w:tc>
        <w:tc>
          <w:tcPr>
            <w:tcW w:type="dxa" w:w="3628"/>
          </w:tcPr>
          <w:p>
            <w:pPr>
              <w:spacing w:after="40"/>
            </w:pPr>
            <w:r>
              <w:rPr>
                <w:b w:val="0"/>
                <w:sz w:val="19"/>
              </w:rPr>
              <w:t>Nier, déformer, détourner (« et vous alors ? »), intimider.</w:t>
            </w:r>
          </w:p>
        </w:tc>
        <w:tc>
          <w:tcPr>
            <w:tcW w:type="dxa" w:w="3628"/>
          </w:tcPr>
          <w:p>
            <w:pPr>
              <w:spacing w:after="40"/>
            </w:pPr>
            <w:r>
              <w:rPr>
                <w:b w:val="0"/>
                <w:sz w:val="19"/>
              </w:rPr>
              <w:t>La séquence des quatre sur un même dossier, souvent dans cet ordre.</w:t>
            </w:r>
          </w:p>
        </w:tc>
      </w:tr>
      <w:tr>
        <w:tc>
          <w:tcPr>
            <w:tcW w:type="dxa" w:w="2041"/>
            <w:shd w:val="clear" w:color="auto" w:fill="F2F2F2"/>
          </w:tcPr>
          <w:p>
            <w:pPr>
              <w:spacing w:after="40"/>
            </w:pPr>
            <w:r>
              <w:rPr>
                <w:b/>
                <w:sz w:val="19"/>
              </w:rPr>
              <w:t>Inversion victimaire</w:t>
            </w:r>
          </w:p>
        </w:tc>
        <w:tc>
          <w:tcPr>
            <w:tcW w:type="dxa" w:w="3628"/>
            <w:shd w:val="clear" w:color="auto" w:fill="F2F2F2"/>
          </w:tcPr>
          <w:p>
            <w:pPr>
              <w:spacing w:after="40"/>
            </w:pPr>
            <w:r>
              <w:rPr>
                <w:b w:val="0"/>
                <w:sz w:val="19"/>
              </w:rPr>
              <w:t>L'agresseur se présente en protecteur ou en victime ; le devoir de protéger est détourné.</w:t>
            </w:r>
          </w:p>
        </w:tc>
        <w:tc>
          <w:tcPr>
            <w:tcW w:type="dxa" w:w="3628"/>
            <w:shd w:val="clear" w:color="auto" w:fill="F2F2F2"/>
          </w:tcPr>
          <w:p>
            <w:pPr>
              <w:spacing w:after="40"/>
            </w:pPr>
            <w:r>
              <w:rPr>
                <w:b w:val="0"/>
                <w:sz w:val="19"/>
              </w:rPr>
              <w:t>Le vocabulaire de la protection appliqué à une action offensive.</w:t>
            </w:r>
          </w:p>
        </w:tc>
      </w:tr>
      <w:tr>
        <w:tc>
          <w:tcPr>
            <w:tcW w:type="dxa" w:w="2041"/>
          </w:tcPr>
          <w:p>
            <w:pPr>
              <w:spacing w:after="40"/>
            </w:pPr>
            <w:r>
              <w:rPr>
                <w:b/>
                <w:sz w:val="19"/>
              </w:rPr>
              <w:t>Brouillage d'attribution</w:t>
            </w:r>
          </w:p>
        </w:tc>
        <w:tc>
          <w:tcPr>
            <w:tcW w:type="dxa" w:w="3628"/>
          </w:tcPr>
          <w:p>
            <w:pPr>
              <w:spacing w:after="40"/>
            </w:pPr>
            <w:r>
              <w:rPr>
                <w:b w:val="0"/>
                <w:sz w:val="19"/>
              </w:rPr>
              <w:t>« Ce n'est pas nous » : exiger des preuves, multiplier les relais opaques, saturer l'espace de pistes concurrentes.</w:t>
            </w:r>
          </w:p>
        </w:tc>
        <w:tc>
          <w:tcPr>
            <w:tcW w:type="dxa" w:w="3628"/>
          </w:tcPr>
          <w:p>
            <w:pPr>
              <w:spacing w:after="40"/>
            </w:pPr>
            <w:r>
              <w:rPr>
                <w:b w:val="0"/>
                <w:sz w:val="19"/>
              </w:rPr>
              <w:t>Plusieurs coupables désignés en même temps par des sources apparemment distinctes.</w:t>
            </w:r>
          </w:p>
        </w:tc>
      </w:tr>
      <w:tr>
        <w:tc>
          <w:tcPr>
            <w:tcW w:type="dxa" w:w="2041"/>
            <w:shd w:val="clear" w:color="auto" w:fill="F2F2F2"/>
          </w:tcPr>
          <w:p>
            <w:pPr>
              <w:spacing w:after="40"/>
            </w:pPr>
            <w:r>
              <w:rPr>
                <w:b/>
                <w:sz w:val="19"/>
              </w:rPr>
              <w:t>Escalade par paliers</w:t>
            </w:r>
          </w:p>
        </w:tc>
        <w:tc>
          <w:tcPr>
            <w:tcW w:type="dxa" w:w="3628"/>
            <w:shd w:val="clear" w:color="auto" w:fill="F2F2F2"/>
          </w:tcPr>
          <w:p>
            <w:pPr>
              <w:spacing w:after="40"/>
            </w:pPr>
            <w:r>
              <w:rPr>
                <w:b w:val="0"/>
                <w:sz w:val="19"/>
              </w:rPr>
              <w:t>Chaque palier banalise le suivant ; l'opinion s'habitue graduellement.</w:t>
            </w:r>
          </w:p>
        </w:tc>
        <w:tc>
          <w:tcPr>
            <w:tcW w:type="dxa" w:w="3628"/>
            <w:shd w:val="clear" w:color="auto" w:fill="F2F2F2"/>
          </w:tcPr>
          <w:p>
            <w:pPr>
              <w:spacing w:after="40"/>
            </w:pPr>
            <w:r>
              <w:rPr>
                <w:b w:val="0"/>
                <w:sz w:val="19"/>
              </w:rPr>
              <w:t>Des séries : le même thème repris à intervalles, chaque fois un cran plus loin.</w:t>
            </w:r>
          </w:p>
        </w:tc>
      </w:tr>
      <w:tr>
        <w:tc>
          <w:tcPr>
            <w:tcW w:type="dxa" w:w="2041"/>
          </w:tcPr>
          <w:p>
            <w:pPr>
              <w:spacing w:after="40"/>
            </w:pPr>
            <w:r>
              <w:rPr>
                <w:b/>
                <w:sz w:val="19"/>
              </w:rPr>
              <w:t>Kompromat</w:t>
            </w:r>
          </w:p>
        </w:tc>
        <w:tc>
          <w:tcPr>
            <w:tcW w:type="dxa" w:w="3628"/>
          </w:tcPr>
          <w:p>
            <w:pPr>
              <w:spacing w:after="40"/>
            </w:pPr>
            <w:r>
              <w:rPr>
                <w:b w:val="0"/>
                <w:sz w:val="19"/>
              </w:rPr>
              <w:t>Compromettre nominativement des élites : corruption, mœurs, fortune.</w:t>
            </w:r>
          </w:p>
        </w:tc>
        <w:tc>
          <w:tcPr>
            <w:tcW w:type="dxa" w:w="3628"/>
          </w:tcPr>
          <w:p>
            <w:pPr>
              <w:spacing w:after="40"/>
            </w:pPr>
            <w:r>
              <w:rPr>
                <w:b w:val="0"/>
                <w:sz w:val="19"/>
              </w:rPr>
              <w:t>Documents « fuités », factures, images de biens. Le montage est souvent grossier de près.</w:t>
            </w:r>
          </w:p>
        </w:tc>
      </w:tr>
      <w:tr>
        <w:tc>
          <w:tcPr>
            <w:tcW w:type="dxa" w:w="2041"/>
            <w:shd w:val="clear" w:color="auto" w:fill="F2F2F2"/>
          </w:tcPr>
          <w:p>
            <w:pPr>
              <w:spacing w:after="40"/>
            </w:pPr>
            <w:r>
              <w:rPr>
                <w:b/>
                <w:sz w:val="19"/>
              </w:rPr>
              <w:t>Lawfare</w:t>
            </w:r>
          </w:p>
        </w:tc>
        <w:tc>
          <w:tcPr>
            <w:tcW w:type="dxa" w:w="3628"/>
            <w:shd w:val="clear" w:color="auto" w:fill="F2F2F2"/>
          </w:tcPr>
          <w:p>
            <w:pPr>
              <w:spacing w:after="40"/>
            </w:pPr>
            <w:r>
              <w:rPr>
                <w:b w:val="0"/>
                <w:sz w:val="19"/>
              </w:rPr>
              <w:t>Instrumentaliser le droit : exigences juridiques auxquelles on ne croit pas, pour enliser et inverser la charge de la preuve.</w:t>
            </w:r>
          </w:p>
        </w:tc>
        <w:tc>
          <w:tcPr>
            <w:tcW w:type="dxa" w:w="3628"/>
            <w:shd w:val="clear" w:color="auto" w:fill="F2F2F2"/>
          </w:tcPr>
          <w:p>
            <w:pPr>
              <w:spacing w:after="40"/>
            </w:pPr>
            <w:r>
              <w:rPr>
                <w:b w:val="0"/>
                <w:sz w:val="19"/>
              </w:rPr>
              <w:t>Un silence opérationnel normal transformé en aveu de culpabilité.</w:t>
            </w:r>
          </w:p>
        </w:tc>
      </w:tr>
      <w:tr>
        <w:tc>
          <w:tcPr>
            <w:tcW w:type="dxa" w:w="2041"/>
          </w:tcPr>
          <w:p>
            <w:pPr>
              <w:spacing w:after="40"/>
            </w:pPr>
            <w:r>
              <w:rPr>
                <w:b/>
                <w:sz w:val="19"/>
              </w:rPr>
              <w:t>Faux experts, faux témoins</w:t>
            </w:r>
          </w:p>
        </w:tc>
        <w:tc>
          <w:tcPr>
            <w:tcW w:type="dxa" w:w="3628"/>
          </w:tcPr>
          <w:p>
            <w:pPr>
              <w:spacing w:after="40"/>
            </w:pPr>
            <w:r>
              <w:rPr>
                <w:b w:val="0"/>
                <w:sz w:val="19"/>
              </w:rPr>
              <w:t>Analystes « indépendants », ONG fantômes, lanceurs d'alerte dont la biographie a été construite en amont.</w:t>
            </w:r>
          </w:p>
        </w:tc>
        <w:tc>
          <w:tcPr>
            <w:tcW w:type="dxa" w:w="3628"/>
          </w:tcPr>
          <w:p>
            <w:pPr>
              <w:spacing w:after="40"/>
            </w:pPr>
            <w:r>
              <w:rPr>
                <w:b w:val="0"/>
                <w:sz w:val="19"/>
              </w:rPr>
              <w:t>Une expertise sans traces antérieures : pas de publications, pas d'affiliation vérifiable, un profil récent mais étrangement fourni.</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Ce que cela change pour l'analyse</w:t>
            </w:r>
          </w:p>
          <w:p>
            <w:pPr>
              <w:spacing w:after="40"/>
            </w:pPr>
            <w:r>
              <w:rPr>
                <w:sz w:val="20"/>
              </w:rPr>
              <w:t>On ne réfute pas un dispositif de saturation, on le caractérise. Répondre point par point, c'est encore jouer la partie de l'adversaire : le contrôle réflexif compte précisément sur la réaction.</w:t>
            </w:r>
          </w:p>
          <w:p>
            <w:pPr>
              <w:spacing w:after="40"/>
            </w:pPr>
            <w:r>
              <w:rPr>
                <w:sz w:val="20"/>
              </w:rPr>
            </w:r>
          </w:p>
          <w:p>
            <w:pPr>
              <w:spacing w:after="40"/>
            </w:pPr>
            <w:r>
              <w:rPr>
                <w:sz w:val="20"/>
              </w:rPr>
              <w:t>La cohérence n'est pas attendue. Deux récits contradictoires portés par le même camp ne sont pas une maladresse, c'est un procédé : il épuise la vérification.</w:t>
            </w:r>
          </w:p>
          <w:p>
            <w:pPr>
              <w:spacing w:after="40"/>
            </w:pPr>
            <w:r>
              <w:rPr>
                <w:sz w:val="20"/>
              </w:rPr>
            </w:r>
          </w:p>
          <w:p>
            <w:pPr>
              <w:spacing w:after="40"/>
            </w:pPr>
            <w:r>
              <w:rPr>
                <w:sz w:val="20"/>
              </w:rPr>
              <w:t>La bonne question n'est donc pas « est-ce vrai ? » mais « quelle réaction ce contenu cherche-t-il à provoquer, chez qui, et à quel coût pour la cible ? ».</w:t>
            </w:r>
          </w:p>
        </w:tc>
      </w:tr>
    </w:tbl>
    <w:p>
      <w:pPr>
        <w:spacing w:after="40"/>
      </w:pPr>
    </w:p>
    <w:p>
      <w:r>
        <w:br w:type="page"/>
      </w:r>
    </w:p>
    <w:p>
      <w:pPr>
        <w:pStyle w:val="Heading1"/>
      </w:pPr>
      <w:r>
        <w:t>3. Comment une opération est fabriquée</w:t>
      </w:r>
    </w:p>
    <w:p>
      <w:r>
        <w:rPr>
          <w:b w:val="0"/>
          <w:i w:val="0"/>
        </w:rPr>
        <w:t>C'est la partie la plus utile pour votre travail : les relais ne se trouvent pas n'importe où dans la chaîne. Ils occupent des positions précises, et chaque position laisse des traces différentes.</w:t>
      </w:r>
    </w:p>
    <w:p>
      <w:pPr>
        <w:pStyle w:val="Heading2"/>
      </w:pPr>
      <w:r>
        <w:t>3.1 Les cinq temps</w:t>
      </w:r>
    </w:p>
    <w:p>
      <w:pPr>
        <w:jc w:val="center"/>
      </w:pPr>
      <w:r>
        <w:rPr>
          <w:b/>
          <w:color w:val="1F3B63"/>
          <w:sz w:val="22"/>
        </w:rPr>
        <w:t>CRÉATION  →  PRIMO-DIFFUSION  →  BLANCHIMENT  →  AMPLIFICATION  →  REPRISES</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DCE4F0"/>
          </w:tcPr>
          <w:p>
            <w:pPr>
              <w:spacing w:after="40"/>
            </w:pPr>
            <w:r>
              <w:rPr>
                <w:b/>
                <w:color w:val="1F3B63"/>
                <w:sz w:val="19"/>
              </w:rPr>
              <w:t>Temps</w:t>
            </w:r>
          </w:p>
        </w:tc>
        <w:tc>
          <w:tcPr>
            <w:tcW w:type="dxa" w:w="3742"/>
            <w:shd w:val="clear" w:color="auto" w:fill="DCE4F0"/>
          </w:tcPr>
          <w:p>
            <w:pPr>
              <w:spacing w:after="40"/>
            </w:pPr>
            <w:r>
              <w:rPr>
                <w:b/>
                <w:color w:val="1F3B63"/>
                <w:sz w:val="19"/>
              </w:rPr>
              <w:t>Ce qui s'y passe</w:t>
            </w:r>
          </w:p>
        </w:tc>
        <w:tc>
          <w:tcPr>
            <w:tcW w:type="dxa" w:w="3969"/>
            <w:shd w:val="clear" w:color="auto" w:fill="DCE4F0"/>
          </w:tcPr>
          <w:p>
            <w:pPr>
              <w:spacing w:after="40"/>
            </w:pPr>
            <w:r>
              <w:rPr>
                <w:b/>
                <w:color w:val="1F3B63"/>
                <w:sz w:val="19"/>
              </w:rPr>
              <w:t>Ce que vous pouvez observer</w:t>
            </w:r>
          </w:p>
        </w:tc>
      </w:tr>
      <w:tr>
        <w:tc>
          <w:tcPr>
            <w:tcW w:type="dxa" w:w="1587"/>
          </w:tcPr>
          <w:p>
            <w:pPr>
              <w:spacing w:after="40"/>
            </w:pPr>
            <w:r>
              <w:rPr>
                <w:b/>
                <w:sz w:val="19"/>
              </w:rPr>
              <w:t>1. Création</w:t>
            </w:r>
          </w:p>
        </w:tc>
        <w:tc>
          <w:tcPr>
            <w:tcW w:type="dxa" w:w="3742"/>
          </w:tcPr>
          <w:p>
            <w:pPr>
              <w:spacing w:after="40"/>
            </w:pPr>
            <w:r>
              <w:rPr>
                <w:b w:val="0"/>
                <w:sz w:val="19"/>
              </w:rPr>
              <w:t>Fabrication du contenu : vidéo truquée, voix clonée, faux document, faux témoin, acteur amateur recruté en ligne.</w:t>
            </w:r>
          </w:p>
        </w:tc>
        <w:tc>
          <w:tcPr>
            <w:tcW w:type="dxa" w:w="3969"/>
          </w:tcPr>
          <w:p>
            <w:pPr>
              <w:spacing w:after="40"/>
            </w:pPr>
            <w:r>
              <w:rPr>
                <w:b w:val="0"/>
                <w:sz w:val="19"/>
              </w:rPr>
              <w:t>Défauts de fabrication : accents, incohérences de mise en page, métadonnées, images recyclées, typographie d'un faux logo.</w:t>
            </w:r>
          </w:p>
        </w:tc>
      </w:tr>
      <w:tr>
        <w:tc>
          <w:tcPr>
            <w:tcW w:type="dxa" w:w="1587"/>
            <w:shd w:val="clear" w:color="auto" w:fill="F2F2F2"/>
          </w:tcPr>
          <w:p>
            <w:pPr>
              <w:spacing w:after="40"/>
            </w:pPr>
            <w:r>
              <w:rPr>
                <w:b/>
                <w:sz w:val="19"/>
              </w:rPr>
              <w:t>2. Primo-diffusion</w:t>
            </w:r>
          </w:p>
        </w:tc>
        <w:tc>
          <w:tcPr>
            <w:tcW w:type="dxa" w:w="3742"/>
            <w:shd w:val="clear" w:color="auto" w:fill="F2F2F2"/>
          </w:tcPr>
          <w:p>
            <w:pPr>
              <w:spacing w:after="40"/>
            </w:pPr>
            <w:r>
              <w:rPr>
                <w:b w:val="0"/>
                <w:sz w:val="19"/>
              </w:rPr>
              <w:t>Première publication, par des comptes jetables, par des influenceurs rémunérés choisis pour leur langue, ou par de faux sites d'information locale.</w:t>
            </w:r>
          </w:p>
        </w:tc>
        <w:tc>
          <w:tcPr>
            <w:tcW w:type="dxa" w:w="3969"/>
            <w:shd w:val="clear" w:color="auto" w:fill="F2F2F2"/>
          </w:tcPr>
          <w:p>
            <w:pPr>
              <w:spacing w:after="40"/>
            </w:pPr>
            <w:r>
              <w:rPr>
                <w:b w:val="0"/>
                <w:sz w:val="19"/>
              </w:rPr>
              <w:t>Comptes créés peu avant, ou achetés en lots (dates d'enregistrement voisines). Publication simultanée sur plusieurs plateformes pour contourner la modération et crier ensuite à la censure.</w:t>
            </w:r>
          </w:p>
        </w:tc>
      </w:tr>
      <w:tr>
        <w:tc>
          <w:tcPr>
            <w:tcW w:type="dxa" w:w="1587"/>
          </w:tcPr>
          <w:p>
            <w:pPr>
              <w:spacing w:after="40"/>
            </w:pPr>
            <w:r>
              <w:rPr>
                <w:b/>
                <w:sz w:val="19"/>
              </w:rPr>
              <w:t>3. Blanchiment</w:t>
            </w:r>
          </w:p>
        </w:tc>
        <w:tc>
          <w:tcPr>
            <w:tcW w:type="dxa" w:w="3742"/>
          </w:tcPr>
          <w:p>
            <w:pPr>
              <w:spacing w:after="40"/>
            </w:pPr>
            <w:r>
              <w:rPr>
                <w:b w:val="0"/>
                <w:sz w:val="19"/>
              </w:rPr>
              <w:t>Un média tiers, souvent dans un pays éloigné du théâtre, publie le contenu comme une information. Le lien avec la source disparaît.</w:t>
            </w:r>
          </w:p>
        </w:tc>
        <w:tc>
          <w:tcPr>
            <w:tcW w:type="dxa" w:w="3969"/>
          </w:tcPr>
          <w:p>
            <w:pPr>
              <w:spacing w:after="40"/>
            </w:pPr>
            <w:r>
              <w:rPr>
                <w:b w:val="0"/>
                <w:sz w:val="19"/>
              </w:rPr>
              <w:t>C'est le maillon le plus discriminant : un article sans source traçable, parfois signalé « sponsorisé », repris ensuite comme référence.</w:t>
            </w:r>
          </w:p>
        </w:tc>
      </w:tr>
      <w:tr>
        <w:tc>
          <w:tcPr>
            <w:tcW w:type="dxa" w:w="1587"/>
            <w:shd w:val="clear" w:color="auto" w:fill="F2F2F2"/>
          </w:tcPr>
          <w:p>
            <w:pPr>
              <w:spacing w:after="40"/>
            </w:pPr>
            <w:r>
              <w:rPr>
                <w:b/>
                <w:sz w:val="19"/>
              </w:rPr>
              <w:t>4. Amplification</w:t>
            </w:r>
          </w:p>
        </w:tc>
        <w:tc>
          <w:tcPr>
            <w:tcW w:type="dxa" w:w="3742"/>
            <w:shd w:val="clear" w:color="auto" w:fill="F2F2F2"/>
          </w:tcPr>
          <w:p>
            <w:pPr>
              <w:spacing w:after="40"/>
            </w:pPr>
            <w:r>
              <w:rPr>
                <w:b w:val="0"/>
                <w:sz w:val="19"/>
              </w:rPr>
              <w:t>Réseaux de sites relais, influenceurs, commentaires sous les articles des médias grand public, chaînes de messagerie.</w:t>
            </w:r>
          </w:p>
        </w:tc>
        <w:tc>
          <w:tcPr>
            <w:tcW w:type="dxa" w:w="3969"/>
            <w:shd w:val="clear" w:color="auto" w:fill="F2F2F2"/>
          </w:tcPr>
          <w:p>
            <w:pPr>
              <w:spacing w:after="40"/>
            </w:pPr>
            <w:r>
              <w:rPr>
                <w:b w:val="0"/>
                <w:sz w:val="19"/>
              </w:rPr>
              <w:t>Synchronies de publication, textes identiques à la traduction près, comptes au comportement quasi identique.</w:t>
            </w:r>
          </w:p>
        </w:tc>
      </w:tr>
      <w:tr>
        <w:tc>
          <w:tcPr>
            <w:tcW w:type="dxa" w:w="1587"/>
          </w:tcPr>
          <w:p>
            <w:pPr>
              <w:spacing w:after="40"/>
            </w:pPr>
            <w:r>
              <w:rPr>
                <w:b/>
                <w:sz w:val="19"/>
              </w:rPr>
              <w:t>5. Reprises</w:t>
            </w:r>
          </w:p>
        </w:tc>
        <w:tc>
          <w:tcPr>
            <w:tcW w:type="dxa" w:w="3742"/>
          </w:tcPr>
          <w:p>
            <w:pPr>
              <w:spacing w:after="40"/>
            </w:pPr>
            <w:r>
              <w:rPr>
                <w:b w:val="0"/>
                <w:sz w:val="19"/>
              </w:rPr>
              <w:t>Médias d'État, réseau diplomatique, puis acteurs politiques locaux — parfois de bonne foi, la chaîne étant devenue invisible.</w:t>
            </w:r>
          </w:p>
        </w:tc>
        <w:tc>
          <w:tcPr>
            <w:tcW w:type="dxa" w:w="3969"/>
          </w:tcPr>
          <w:p>
            <w:pPr>
              <w:spacing w:after="40"/>
            </w:pPr>
            <w:r>
              <w:rPr>
                <w:b w:val="0"/>
                <w:sz w:val="19"/>
              </w:rPr>
              <w:t>Le moment où le contenu entre dans le débat national légitime. C'est là qu'on identifie les relais involontaires.</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Où se trouvent les relais ?</w:t>
            </w:r>
          </w:p>
          <w:p>
            <w:pPr>
              <w:spacing w:after="40"/>
            </w:pPr>
            <w:r>
              <w:rPr>
                <w:sz w:val="20"/>
              </w:rPr>
              <w:t>Aux temps 2, 3 et 5. Le temps 3 (blanchiment) est le plus révélateur : il suppose un média réel, identifiable, avec un propriétaire, un modèle économique et une adresse. C'est un acteur qu'on peut documenter, contrairement à un compte jetable.</w:t>
            </w:r>
          </w:p>
          <w:p>
            <w:pPr>
              <w:spacing w:after="40"/>
            </w:pPr>
            <w:r>
              <w:rPr>
                <w:sz w:val="20"/>
              </w:rPr>
            </w:r>
          </w:p>
          <w:p>
            <w:pPr>
              <w:spacing w:after="40"/>
            </w:pPr>
            <w:r>
              <w:rPr>
                <w:sz w:val="20"/>
              </w:rPr>
              <w:t>Le temps 5 est le plus délicat : les acteurs qui reprennent sont souvent sincères. Ils sont le produit du dispositif, pas ses agents. Les traiter comme des complices est à la fois faux et contre-productif.</w:t>
            </w:r>
          </w:p>
        </w:tc>
      </w:tr>
    </w:tbl>
    <w:p>
      <w:pPr>
        <w:spacing w:after="40"/>
      </w:pPr>
    </w:p>
    <w:p>
      <w:pPr>
        <w:pStyle w:val="Heading2"/>
      </w:pPr>
      <w:r>
        <w:t>3.2 Les dispositifs documentés, et ce qu'ils impliquent localement</w:t>
      </w:r>
    </w:p>
    <w:p>
      <w:r>
        <w:rPr>
          <w:b w:val="0"/>
          <w:i w:val="0"/>
        </w:rPr>
        <w:t>Ces dispositifs ont été caractérisés publiquement par des organismes européens. Leur intérêt ici est qu'ils décrivent des procédés reproductibles : vous les retrouverez sous d'autres noms.</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color="auto" w:fill="DCE4F0"/>
          </w:tcPr>
          <w:p>
            <w:pPr>
              <w:spacing w:after="40"/>
            </w:pPr>
            <w:r>
              <w:rPr>
                <w:b/>
                <w:color w:val="1F3B63"/>
                <w:sz w:val="19"/>
              </w:rPr>
              <w:t>Dispositif</w:t>
            </w:r>
          </w:p>
        </w:tc>
        <w:tc>
          <w:tcPr>
            <w:tcW w:type="dxa" w:w="3515"/>
            <w:shd w:val="clear" w:color="auto" w:fill="DCE4F0"/>
          </w:tcPr>
          <w:p>
            <w:pPr>
              <w:spacing w:after="40"/>
            </w:pPr>
            <w:r>
              <w:rPr>
                <w:b/>
                <w:color w:val="1F3B63"/>
                <w:sz w:val="19"/>
              </w:rPr>
              <w:t>Mécanisme</w:t>
            </w:r>
          </w:p>
        </w:tc>
        <w:tc>
          <w:tcPr>
            <w:tcW w:type="dxa" w:w="3628"/>
            <w:shd w:val="clear" w:color="auto" w:fill="DCE4F0"/>
          </w:tcPr>
          <w:p>
            <w:pPr>
              <w:spacing w:after="40"/>
            </w:pPr>
            <w:r>
              <w:rPr>
                <w:b/>
                <w:color w:val="1F3B63"/>
                <w:sz w:val="19"/>
              </w:rPr>
              <w:t>À chercher dans un paysage national</w:t>
            </w:r>
          </w:p>
        </w:tc>
      </w:tr>
      <w:tr>
        <w:tc>
          <w:tcPr>
            <w:tcW w:type="dxa" w:w="2154"/>
          </w:tcPr>
          <w:p>
            <w:pPr>
              <w:spacing w:after="40"/>
            </w:pPr>
            <w:r>
              <w:rPr>
                <w:b/>
                <w:sz w:val="19"/>
              </w:rPr>
              <w:t>Usurpation de titres (type Doppelgänger)</w:t>
            </w:r>
          </w:p>
        </w:tc>
        <w:tc>
          <w:tcPr>
            <w:tcW w:type="dxa" w:w="3515"/>
          </w:tcPr>
          <w:p>
            <w:pPr>
              <w:spacing w:after="40"/>
            </w:pPr>
            <w:r>
              <w:rPr>
                <w:b w:val="0"/>
                <w:sz w:val="19"/>
              </w:rPr>
              <w:t>Clonage de domaines de grands médias légitimes, avec des articles réécrits, poussés par de la publicité ciblée.</w:t>
            </w:r>
          </w:p>
        </w:tc>
        <w:tc>
          <w:tcPr>
            <w:tcW w:type="dxa" w:w="3628"/>
          </w:tcPr>
          <w:p>
            <w:pPr>
              <w:spacing w:after="40"/>
            </w:pPr>
            <w:r>
              <w:rPr>
                <w:b w:val="0"/>
                <w:sz w:val="19"/>
              </w:rPr>
              <w:t>Variantes de domaines des titres nationaux ; articles introuvables sur le site d'origine ; campagnes publicitaires vers ces adresses.</w:t>
            </w:r>
          </w:p>
        </w:tc>
      </w:tr>
      <w:tr>
        <w:tc>
          <w:tcPr>
            <w:tcW w:type="dxa" w:w="2154"/>
            <w:shd w:val="clear" w:color="auto" w:fill="F2F2F2"/>
          </w:tcPr>
          <w:p>
            <w:pPr>
              <w:spacing w:after="40"/>
            </w:pPr>
            <w:r>
              <w:rPr>
                <w:b/>
                <w:sz w:val="19"/>
              </w:rPr>
              <w:t>Faux médias locaux générés (type CopyCop)</w:t>
            </w:r>
          </w:p>
        </w:tc>
        <w:tc>
          <w:tcPr>
            <w:tcW w:type="dxa" w:w="3515"/>
            <w:shd w:val="clear" w:color="auto" w:fill="F2F2F2"/>
          </w:tcPr>
          <w:p>
            <w:pPr>
              <w:spacing w:after="40"/>
            </w:pPr>
            <w:r>
              <w:rPr>
                <w:b w:val="0"/>
                <w:sz w:val="19"/>
              </w:rPr>
              <w:t>Centaines de sites imitant la presse locale, alimentés par IA, reprenant parfois le nom de journaux historiques disparus.</w:t>
            </w:r>
          </w:p>
        </w:tc>
        <w:tc>
          <w:tcPr>
            <w:tcW w:type="dxa" w:w="3628"/>
            <w:shd w:val="clear" w:color="auto" w:fill="F2F2F2"/>
          </w:tcPr>
          <w:p>
            <w:pPr>
              <w:spacing w:after="40"/>
            </w:pPr>
            <w:r>
              <w:rPr>
                <w:b w:val="0"/>
                <w:sz w:val="19"/>
              </w:rPr>
              <w:t>Sites récents au nom ancien ; aucun journaliste identifiable ; articles traduits ; même gabarit derrière des habillages différents.</w:t>
            </w:r>
          </w:p>
        </w:tc>
      </w:tr>
      <w:tr>
        <w:tc>
          <w:tcPr>
            <w:tcW w:type="dxa" w:w="2154"/>
          </w:tcPr>
          <w:p>
            <w:pPr>
              <w:spacing w:after="40"/>
            </w:pPr>
            <w:r>
              <w:rPr>
                <w:b/>
                <w:sz w:val="19"/>
              </w:rPr>
              <w:t>Réseau structuré en arbre (type Portal Kombat)</w:t>
            </w:r>
          </w:p>
        </w:tc>
        <w:tc>
          <w:tcPr>
            <w:tcW w:type="dxa" w:w="3515"/>
          </w:tcPr>
          <w:p>
            <w:pPr>
              <w:spacing w:after="40"/>
            </w:pPr>
            <w:r>
              <w:rPr>
                <w:b w:val="0"/>
                <w:sz w:val="19"/>
              </w:rPr>
              <w:t>Des sites-mères alimentent des sites-relais, eux-mêmes repris sur les réseaux sociaux : une arborescence de diffusion.</w:t>
            </w:r>
          </w:p>
        </w:tc>
        <w:tc>
          <w:tcPr>
            <w:tcW w:type="dxa" w:w="3628"/>
          </w:tcPr>
          <w:p>
            <w:pPr>
              <w:spacing w:after="40"/>
            </w:pPr>
            <w:r>
              <w:rPr>
                <w:b w:val="0"/>
                <w:sz w:val="19"/>
              </w:rPr>
              <w:t>Chaînes de citation circulaires : A cite B qui cite C qui cite A.</w:t>
            </w:r>
          </w:p>
        </w:tc>
      </w:tr>
      <w:tr>
        <w:tc>
          <w:tcPr>
            <w:tcW w:type="dxa" w:w="2154"/>
            <w:shd w:val="clear" w:color="auto" w:fill="F2F2F2"/>
          </w:tcPr>
          <w:p>
            <w:pPr>
              <w:spacing w:after="40"/>
            </w:pPr>
            <w:r>
              <w:rPr>
                <w:b/>
                <w:sz w:val="19"/>
              </w:rPr>
              <w:t>Ciblage des vérificateurs (type Matriochka)</w:t>
            </w:r>
          </w:p>
        </w:tc>
        <w:tc>
          <w:tcPr>
            <w:tcW w:type="dxa" w:w="3515"/>
            <w:shd w:val="clear" w:color="auto" w:fill="F2F2F2"/>
          </w:tcPr>
          <w:p>
            <w:pPr>
              <w:spacing w:after="40"/>
            </w:pPr>
            <w:r>
              <w:rPr>
                <w:b w:val="0"/>
                <w:sz w:val="19"/>
              </w:rPr>
              <w:t>Fabriquer de faux contenus impliquant des journalistes ou des experts reconnus, qui semblent confirmer le narratif.</w:t>
            </w:r>
          </w:p>
        </w:tc>
        <w:tc>
          <w:tcPr>
            <w:tcW w:type="dxa" w:w="3628"/>
            <w:shd w:val="clear" w:color="auto" w:fill="F2F2F2"/>
          </w:tcPr>
          <w:p>
            <w:pPr>
              <w:spacing w:after="40"/>
            </w:pPr>
            <w:r>
              <w:rPr>
                <w:b w:val="0"/>
                <w:sz w:val="19"/>
              </w:rPr>
              <w:t>Usurpation de l'identité de journalistes locaux ; sollicitations massives des rédactions pour les épuiser.</w:t>
            </w:r>
          </w:p>
        </w:tc>
      </w:tr>
      <w:tr>
        <w:tc>
          <w:tcPr>
            <w:tcW w:type="dxa" w:w="2154"/>
          </w:tcPr>
          <w:p>
            <w:pPr>
              <w:spacing w:after="40"/>
            </w:pPr>
            <w:r>
              <w:rPr>
                <w:b/>
                <w:sz w:val="19"/>
              </w:rPr>
              <w:t>Financement de voix politiques (type Voice of Europe)</w:t>
            </w:r>
          </w:p>
        </w:tc>
        <w:tc>
          <w:tcPr>
            <w:tcW w:type="dxa" w:w="3515"/>
          </w:tcPr>
          <w:p>
            <w:pPr>
              <w:spacing w:after="40"/>
            </w:pPr>
            <w:r>
              <w:rPr>
                <w:b w:val="0"/>
                <w:sz w:val="19"/>
              </w:rPr>
              <w:t>Rémunérer des responsables politiques ou des figures publiques pour porter des positions dans les médias légitimes.</w:t>
            </w:r>
          </w:p>
        </w:tc>
        <w:tc>
          <w:tcPr>
            <w:tcW w:type="dxa" w:w="3628"/>
          </w:tcPr>
          <w:p>
            <w:pPr>
              <w:spacing w:after="40"/>
            </w:pPr>
            <w:r>
              <w:rPr>
                <w:b w:val="0"/>
                <w:sz w:val="19"/>
              </w:rPr>
              <w:t>Déclarations d'intérêts, déplacements, participations à des conférences, financements d'associations.</w:t>
            </w:r>
          </w:p>
        </w:tc>
      </w:tr>
      <w:tr>
        <w:tc>
          <w:tcPr>
            <w:tcW w:type="dxa" w:w="2154"/>
            <w:shd w:val="clear" w:color="auto" w:fill="F2F2F2"/>
          </w:tcPr>
          <w:p>
            <w:pPr>
              <w:spacing w:after="40"/>
            </w:pPr>
            <w:r>
              <w:rPr>
                <w:b/>
                <w:sz w:val="19"/>
              </w:rPr>
              <w:t>Amplification d'apparence organique (type Mriya)</w:t>
            </w:r>
          </w:p>
        </w:tc>
        <w:tc>
          <w:tcPr>
            <w:tcW w:type="dxa" w:w="3515"/>
            <w:shd w:val="clear" w:color="auto" w:fill="F2F2F2"/>
          </w:tcPr>
          <w:p>
            <w:pPr>
              <w:spacing w:after="40"/>
            </w:pPr>
            <w:r>
              <w:rPr>
                <w:b w:val="0"/>
                <w:sz w:val="19"/>
              </w:rPr>
              <w:t>Un réseau coordonné dont chaque compte se comporte différemment, pour paraître spontané.</w:t>
            </w:r>
          </w:p>
        </w:tc>
        <w:tc>
          <w:tcPr>
            <w:tcW w:type="dxa" w:w="3628"/>
            <w:shd w:val="clear" w:color="auto" w:fill="F2F2F2"/>
          </w:tcPr>
          <w:p>
            <w:pPr>
              <w:spacing w:after="40"/>
            </w:pPr>
            <w:r>
              <w:rPr>
                <w:b w:val="0"/>
                <w:sz w:val="19"/>
              </w:rPr>
              <w:t>Coordination dans le temps plutôt que dans la forme : ce sont les horaires qui trahissent, pas le style.</w:t>
            </w:r>
          </w:p>
        </w:tc>
      </w:tr>
    </w:tbl>
    <w:p>
      <w:pPr>
        <w:spacing w:after="40"/>
      </w:pPr>
    </w:p>
    <w:p>
      <w:pPr>
        <w:pStyle w:val="Heading2"/>
      </w:pPr>
      <w:r>
        <w:t>3.3 Les types de contenus, par ordre de difficulté de détection</w:t>
      </w:r>
    </w:p>
    <w:p>
      <w:pPr>
        <w:pStyle w:val="ListBullet"/>
      </w:pPr>
      <w:r>
        <w:rPr>
          <w:b/>
        </w:rPr>
        <w:t xml:space="preserve">Montages documentaires — </w:t>
      </w:r>
      <w:r>
        <w:t>fausses factures, faux courriers officiels, articles authentiques modifiés dans le code de la page puis photographiés. Peu coûteux, très efficaces, détectables par recoupement avec l'original.</w:t>
      </w:r>
    </w:p>
    <w:p>
      <w:pPr>
        <w:pStyle w:val="ListBullet"/>
      </w:pPr>
      <w:r>
        <w:rPr>
          <w:b/>
        </w:rPr>
        <w:t xml:space="preserve">Vidéos avec acteurs amateurs — </w:t>
      </w:r>
      <w:r>
        <w:t>recrutés en ligne, adaptés à la langue de la cible. La qualité inégale est souvent délibérée ; un accent d'Europe de l'Est reste fréquemment décelable.</w:t>
      </w:r>
    </w:p>
    <w:p>
      <w:pPr>
        <w:pStyle w:val="ListBullet"/>
      </w:pPr>
      <w:r>
        <w:rPr>
          <w:b/>
        </w:rPr>
        <w:t xml:space="preserve">Faux lanceurs d'alerte — </w:t>
      </w:r>
      <w:r>
        <w:t>profils construits pendant des semaines avant l'opération, présents sur plusieurs plateformes, avec une biographie plausible mais sans antériorité vérifiable.</w:t>
      </w:r>
    </w:p>
    <w:p>
      <w:pPr>
        <w:pStyle w:val="ListBullet"/>
      </w:pPr>
      <w:r>
        <w:rPr>
          <w:b/>
        </w:rPr>
        <w:t xml:space="preserve">Contenus synthétiques — </w:t>
      </w:r>
      <w:r>
        <w:t>voix clonées et vidéos truquées, en usage courant depuis 2024. L'IA est ici une accélération, pas une rupture : elle abaisse le coût, elle ne change pas la logique.</w:t>
      </w:r>
    </w:p>
    <w:p>
      <w:pPr>
        <w:pStyle w:val="ListBullet"/>
      </w:pPr>
      <w:r>
        <w:rPr>
          <w:b/>
        </w:rPr>
        <w:t xml:space="preserve">Faux sites d'information — </w:t>
      </w:r>
      <w:r>
        <w:t>le contenant compte plus que le contenu : un site qui ressemble à un journal confère à n'importe quel texte l'apparence d'une information.</w:t>
      </w:r>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Le dividende du menteur</w:t>
            </w:r>
          </w:p>
          <w:p>
            <w:pPr>
              <w:spacing w:after="40"/>
            </w:pPr>
            <w:r>
              <w:rPr>
                <w:sz w:val="20"/>
              </w:rPr>
              <w:t>Effet pervers à connaître absolument : dès lors que le public sait que des contenus truqués circulent, tout contenu authentique et gênant peut être écarté d'un « c'est une IA ». La simple existence de la menace produit donc un effet, indépendamment de son usage réel. Dans votre travail, cela signifie qu'un démenti n'est jamais neutre : il peut renforcer le doute qu'il prétend lever.</w:t>
            </w:r>
          </w:p>
        </w:tc>
      </w:tr>
    </w:tbl>
    <w:p>
      <w:pPr>
        <w:spacing w:after="40"/>
      </w:pPr>
    </w:p>
    <w:p>
      <w:r>
        <w:br w:type="page"/>
      </w:r>
    </w:p>
    <w:p>
      <w:pPr>
        <w:pStyle w:val="Heading1"/>
      </w:pPr>
      <w:r>
        <w:t>4. Lire un contenu : la grille des dix principes</w:t>
      </w:r>
    </w:p>
    <w:p>
      <w:r>
        <w:rPr>
          <w:b w:val="0"/>
          <w:i w:val="0"/>
        </w:rPr>
        <w:t>Formalisée par Anne Morelli d'après Arthur Ponsonby, cette liste décrit les principes de la propagande de guerre. Elle a plus d'un siècle et reste d'une exactitude déconcertante. Son intérêt pratique : elle est rapide à appliquer et ne demande aucun outil.</w:t>
      </w:r>
    </w:p>
    <w:tbl>
      <w:tblPr>
        <w:tblStyle w:val="TableGrid"/>
        <w:tblW w:type="auto" w:w="0"/>
        <w:jc w:val="center"/>
        <w:tblLook w:firstColumn="1" w:firstRow="1" w:lastColumn="0" w:lastRow="0" w:noHBand="0" w:noVBand="1" w:val="04A0"/>
      </w:tblPr>
      <w:tblGrid>
        <w:gridCol w:w="3249"/>
        <w:gridCol w:w="3249"/>
        <w:gridCol w:w="3249"/>
      </w:tblGrid>
      <w:tr>
        <w:tc>
          <w:tcPr>
            <w:tcW w:type="dxa" w:w="510"/>
            <w:shd w:val="clear" w:color="auto" w:fill="DCE4F0"/>
          </w:tcPr>
          <w:p>
            <w:pPr>
              <w:spacing w:after="40"/>
            </w:pPr>
            <w:r>
              <w:rPr>
                <w:b/>
                <w:color w:val="1F3B63"/>
                <w:sz w:val="19"/>
              </w:rPr>
              <w:t>#</w:t>
            </w:r>
          </w:p>
        </w:tc>
        <w:tc>
          <w:tcPr>
            <w:tcW w:type="dxa" w:w="3118"/>
            <w:shd w:val="clear" w:color="auto" w:fill="DCE4F0"/>
          </w:tcPr>
          <w:p>
            <w:pPr>
              <w:spacing w:after="40"/>
            </w:pPr>
            <w:r>
              <w:rPr>
                <w:b/>
                <w:color w:val="1F3B63"/>
                <w:sz w:val="19"/>
              </w:rPr>
              <w:t>Principe</w:t>
            </w:r>
          </w:p>
        </w:tc>
        <w:tc>
          <w:tcPr>
            <w:tcW w:type="dxa" w:w="5669"/>
            <w:shd w:val="clear" w:color="auto" w:fill="DCE4F0"/>
          </w:tcPr>
          <w:p>
            <w:pPr>
              <w:spacing w:after="40"/>
            </w:pPr>
            <w:r>
              <w:rPr>
                <w:b/>
                <w:color w:val="1F3B63"/>
                <w:sz w:val="19"/>
              </w:rPr>
              <w:t>Forme qu'il prend aujourd'hui</w:t>
            </w:r>
          </w:p>
        </w:tc>
      </w:tr>
      <w:tr>
        <w:tc>
          <w:tcPr>
            <w:tcW w:type="dxa" w:w="510"/>
          </w:tcPr>
          <w:p>
            <w:pPr>
              <w:spacing w:after="40"/>
            </w:pPr>
            <w:r>
              <w:rPr>
                <w:b/>
                <w:sz w:val="19"/>
              </w:rPr>
              <w:t>1</w:t>
            </w:r>
          </w:p>
        </w:tc>
        <w:tc>
          <w:tcPr>
            <w:tcW w:type="dxa" w:w="3118"/>
          </w:tcPr>
          <w:p>
            <w:pPr>
              <w:spacing w:after="40"/>
            </w:pPr>
            <w:r>
              <w:rPr>
                <w:b w:val="0"/>
                <w:sz w:val="19"/>
              </w:rPr>
              <w:t>Nous ne voulons pas la guerre</w:t>
            </w:r>
          </w:p>
        </w:tc>
        <w:tc>
          <w:tcPr>
            <w:tcW w:type="dxa" w:w="5669"/>
          </w:tcPr>
          <w:p>
            <w:pPr>
              <w:spacing w:after="40"/>
            </w:pPr>
            <w:r>
              <w:rPr>
                <w:b w:val="0"/>
                <w:sz w:val="19"/>
              </w:rPr>
              <w:t>Posture de puissance pacifique contrainte de se défendre.</w:t>
            </w:r>
          </w:p>
        </w:tc>
      </w:tr>
      <w:tr>
        <w:tc>
          <w:tcPr>
            <w:tcW w:type="dxa" w:w="510"/>
            <w:shd w:val="clear" w:color="auto" w:fill="F2F2F2"/>
          </w:tcPr>
          <w:p>
            <w:pPr>
              <w:spacing w:after="40"/>
            </w:pPr>
            <w:r>
              <w:rPr>
                <w:b/>
                <w:sz w:val="19"/>
              </w:rPr>
              <w:t>2</w:t>
            </w:r>
          </w:p>
        </w:tc>
        <w:tc>
          <w:tcPr>
            <w:tcW w:type="dxa" w:w="3118"/>
            <w:shd w:val="clear" w:color="auto" w:fill="F2F2F2"/>
          </w:tcPr>
          <w:p>
            <w:pPr>
              <w:spacing w:after="40"/>
            </w:pPr>
            <w:r>
              <w:rPr>
                <w:b w:val="0"/>
                <w:sz w:val="19"/>
              </w:rPr>
              <w:t>Le camp adverse est seul responsable</w:t>
            </w:r>
          </w:p>
        </w:tc>
        <w:tc>
          <w:tcPr>
            <w:tcW w:type="dxa" w:w="5669"/>
            <w:shd w:val="clear" w:color="auto" w:fill="F2F2F2"/>
          </w:tcPr>
          <w:p>
            <w:pPr>
              <w:spacing w:after="40"/>
            </w:pPr>
            <w:r>
              <w:rPr>
                <w:b w:val="0"/>
                <w:sz w:val="19"/>
              </w:rPr>
              <w:t>Inversion de la causalité : c'est l'autre qui a provoqué, on ne fait que réagir.</w:t>
            </w:r>
          </w:p>
        </w:tc>
      </w:tr>
      <w:tr>
        <w:tc>
          <w:tcPr>
            <w:tcW w:type="dxa" w:w="510"/>
          </w:tcPr>
          <w:p>
            <w:pPr>
              <w:spacing w:after="40"/>
            </w:pPr>
            <w:r>
              <w:rPr>
                <w:b/>
                <w:sz w:val="19"/>
              </w:rPr>
              <w:t>3</w:t>
            </w:r>
          </w:p>
        </w:tc>
        <w:tc>
          <w:tcPr>
            <w:tcW w:type="dxa" w:w="3118"/>
          </w:tcPr>
          <w:p>
            <w:pPr>
              <w:spacing w:after="40"/>
            </w:pPr>
            <w:r>
              <w:rPr>
                <w:b w:val="0"/>
                <w:sz w:val="19"/>
              </w:rPr>
              <w:t>Le chef adverse a le visage du diable</w:t>
            </w:r>
          </w:p>
        </w:tc>
        <w:tc>
          <w:tcPr>
            <w:tcW w:type="dxa" w:w="5669"/>
          </w:tcPr>
          <w:p>
            <w:pPr>
              <w:spacing w:after="40"/>
            </w:pPr>
            <w:r>
              <w:rPr>
                <w:b w:val="0"/>
                <w:sz w:val="19"/>
              </w:rPr>
              <w:t>Personnalisation : viser un individu nommément plutôt qu'un peuple ou une institution.</w:t>
            </w:r>
          </w:p>
        </w:tc>
      </w:tr>
      <w:tr>
        <w:tc>
          <w:tcPr>
            <w:tcW w:type="dxa" w:w="510"/>
            <w:shd w:val="clear" w:color="auto" w:fill="F2F2F2"/>
          </w:tcPr>
          <w:p>
            <w:pPr>
              <w:spacing w:after="40"/>
            </w:pPr>
            <w:r>
              <w:rPr>
                <w:b/>
                <w:sz w:val="19"/>
              </w:rPr>
              <w:t>4</w:t>
            </w:r>
          </w:p>
        </w:tc>
        <w:tc>
          <w:tcPr>
            <w:tcW w:type="dxa" w:w="3118"/>
            <w:shd w:val="clear" w:color="auto" w:fill="F2F2F2"/>
          </w:tcPr>
          <w:p>
            <w:pPr>
              <w:spacing w:after="40"/>
            </w:pPr>
            <w:r>
              <w:rPr>
                <w:b w:val="0"/>
                <w:sz w:val="19"/>
              </w:rPr>
              <w:t>C'est une cause noble, pas des intérêts</w:t>
            </w:r>
          </w:p>
        </w:tc>
        <w:tc>
          <w:tcPr>
            <w:tcW w:type="dxa" w:w="5669"/>
            <w:shd w:val="clear" w:color="auto" w:fill="F2F2F2"/>
          </w:tcPr>
          <w:p>
            <w:pPr>
              <w:spacing w:after="40"/>
            </w:pPr>
            <w:r>
              <w:rPr>
                <w:b w:val="0"/>
                <w:sz w:val="19"/>
              </w:rPr>
              <w:t>L'intérêt stratégique habillé en valeurs : protection d'une minorité, liberté, dignité.</w:t>
            </w:r>
          </w:p>
        </w:tc>
      </w:tr>
      <w:tr>
        <w:tc>
          <w:tcPr>
            <w:tcW w:type="dxa" w:w="510"/>
          </w:tcPr>
          <w:p>
            <w:pPr>
              <w:spacing w:after="40"/>
            </w:pPr>
            <w:r>
              <w:rPr>
                <w:b/>
                <w:sz w:val="19"/>
              </w:rPr>
              <w:t>5</w:t>
            </w:r>
          </w:p>
        </w:tc>
        <w:tc>
          <w:tcPr>
            <w:tcW w:type="dxa" w:w="3118"/>
          </w:tcPr>
          <w:p>
            <w:pPr>
              <w:spacing w:after="40"/>
            </w:pPr>
            <w:r>
              <w:rPr>
                <w:b w:val="0"/>
                <w:sz w:val="19"/>
              </w:rPr>
              <w:t>Leurs atrocités sont volontaires, nos bavures sont accidentelles</w:t>
            </w:r>
          </w:p>
        </w:tc>
        <w:tc>
          <w:tcPr>
            <w:tcW w:type="dxa" w:w="5669"/>
          </w:tcPr>
          <w:p>
            <w:pPr>
              <w:spacing w:after="40"/>
            </w:pPr>
            <w:r>
              <w:rPr>
                <w:b w:val="0"/>
                <w:sz w:val="19"/>
              </w:rPr>
              <w:t>Asymétrie morale systématique dans le traitement des mêmes faits.</w:t>
            </w:r>
          </w:p>
        </w:tc>
      </w:tr>
      <w:tr>
        <w:tc>
          <w:tcPr>
            <w:tcW w:type="dxa" w:w="510"/>
            <w:shd w:val="clear" w:color="auto" w:fill="F2F2F2"/>
          </w:tcPr>
          <w:p>
            <w:pPr>
              <w:spacing w:after="40"/>
            </w:pPr>
            <w:r>
              <w:rPr>
                <w:b/>
                <w:sz w:val="19"/>
              </w:rPr>
              <w:t>6</w:t>
            </w:r>
          </w:p>
        </w:tc>
        <w:tc>
          <w:tcPr>
            <w:tcW w:type="dxa" w:w="3118"/>
            <w:shd w:val="clear" w:color="auto" w:fill="F2F2F2"/>
          </w:tcPr>
          <w:p>
            <w:pPr>
              <w:spacing w:after="40"/>
            </w:pPr>
            <w:r>
              <w:rPr>
                <w:b w:val="0"/>
                <w:sz w:val="19"/>
              </w:rPr>
              <w:t>L'ennemi utilise des moyens interdits</w:t>
            </w:r>
          </w:p>
        </w:tc>
        <w:tc>
          <w:tcPr>
            <w:tcW w:type="dxa" w:w="5669"/>
            <w:shd w:val="clear" w:color="auto" w:fill="F2F2F2"/>
          </w:tcPr>
          <w:p>
            <w:pPr>
              <w:spacing w:after="40"/>
            </w:pPr>
            <w:r>
              <w:rPr>
                <w:b w:val="0"/>
                <w:sz w:val="19"/>
              </w:rPr>
              <w:t>Accusations de violation du droit de la guerre, souvent chiffrées et juridiquement habillées.</w:t>
            </w:r>
          </w:p>
        </w:tc>
      </w:tr>
      <w:tr>
        <w:tc>
          <w:tcPr>
            <w:tcW w:type="dxa" w:w="510"/>
          </w:tcPr>
          <w:p>
            <w:pPr>
              <w:spacing w:after="40"/>
            </w:pPr>
            <w:r>
              <w:rPr>
                <w:b/>
                <w:sz w:val="19"/>
              </w:rPr>
              <w:t>7</w:t>
            </w:r>
          </w:p>
        </w:tc>
        <w:tc>
          <w:tcPr>
            <w:tcW w:type="dxa" w:w="3118"/>
          </w:tcPr>
          <w:p>
            <w:pPr>
              <w:spacing w:after="40"/>
            </w:pPr>
            <w:r>
              <w:rPr>
                <w:b w:val="0"/>
                <w:sz w:val="19"/>
              </w:rPr>
              <w:t>Nous subissons peu de pertes, eux énormément</w:t>
            </w:r>
          </w:p>
        </w:tc>
        <w:tc>
          <w:tcPr>
            <w:tcW w:type="dxa" w:w="5669"/>
          </w:tcPr>
          <w:p>
            <w:pPr>
              <w:spacing w:after="40"/>
            </w:pPr>
            <w:r>
              <w:rPr>
                <w:b w:val="0"/>
                <w:sz w:val="19"/>
              </w:rPr>
              <w:t>Comptabilité asymétrique, invérifiable et martelée.</w:t>
            </w:r>
          </w:p>
        </w:tc>
      </w:tr>
      <w:tr>
        <w:tc>
          <w:tcPr>
            <w:tcW w:type="dxa" w:w="510"/>
            <w:shd w:val="clear" w:color="auto" w:fill="F2F2F2"/>
          </w:tcPr>
          <w:p>
            <w:pPr>
              <w:spacing w:after="40"/>
            </w:pPr>
            <w:r>
              <w:rPr>
                <w:b/>
                <w:sz w:val="19"/>
              </w:rPr>
              <w:t>8</w:t>
            </w:r>
          </w:p>
        </w:tc>
        <w:tc>
          <w:tcPr>
            <w:tcW w:type="dxa" w:w="3118"/>
            <w:shd w:val="clear" w:color="auto" w:fill="F2F2F2"/>
          </w:tcPr>
          <w:p>
            <w:pPr>
              <w:spacing w:after="40"/>
            </w:pPr>
            <w:r>
              <w:rPr>
                <w:b w:val="0"/>
                <w:sz w:val="19"/>
              </w:rPr>
              <w:t>Les artistes et les intellectuels nous soutiennent</w:t>
            </w:r>
          </w:p>
        </w:tc>
        <w:tc>
          <w:tcPr>
            <w:tcW w:type="dxa" w:w="5669"/>
            <w:shd w:val="clear" w:color="auto" w:fill="F2F2F2"/>
          </w:tcPr>
          <w:p>
            <w:pPr>
              <w:spacing w:after="40"/>
            </w:pPr>
            <w:r>
              <w:rPr>
                <w:b w:val="0"/>
                <w:sz w:val="19"/>
              </w:rPr>
              <w:t>Caution d'autorité : tribunes, « experts », voix présentées comme indépendantes.</w:t>
            </w:r>
          </w:p>
        </w:tc>
      </w:tr>
      <w:tr>
        <w:tc>
          <w:tcPr>
            <w:tcW w:type="dxa" w:w="510"/>
          </w:tcPr>
          <w:p>
            <w:pPr>
              <w:spacing w:after="40"/>
            </w:pPr>
            <w:r>
              <w:rPr>
                <w:b/>
                <w:sz w:val="19"/>
              </w:rPr>
              <w:t>9</w:t>
            </w:r>
          </w:p>
        </w:tc>
        <w:tc>
          <w:tcPr>
            <w:tcW w:type="dxa" w:w="3118"/>
          </w:tcPr>
          <w:p>
            <w:pPr>
              <w:spacing w:after="40"/>
            </w:pPr>
            <w:r>
              <w:rPr>
                <w:b w:val="0"/>
                <w:sz w:val="19"/>
              </w:rPr>
              <w:t>Notre cause a un caractère sacré</w:t>
            </w:r>
          </w:p>
        </w:tc>
        <w:tc>
          <w:tcPr>
            <w:tcW w:type="dxa" w:w="5669"/>
          </w:tcPr>
          <w:p>
            <w:pPr>
              <w:spacing w:after="40"/>
            </w:pPr>
            <w:r>
              <w:rPr>
                <w:b w:val="0"/>
                <w:sz w:val="19"/>
              </w:rPr>
              <w:t>Registre civilisationnel ou religieux, mission historique, destin.</w:t>
            </w:r>
          </w:p>
        </w:tc>
      </w:tr>
      <w:tr>
        <w:tc>
          <w:tcPr>
            <w:tcW w:type="dxa" w:w="510"/>
            <w:shd w:val="clear" w:color="auto" w:fill="F2F2F2"/>
          </w:tcPr>
          <w:p>
            <w:pPr>
              <w:spacing w:after="40"/>
            </w:pPr>
            <w:r>
              <w:rPr>
                <w:b/>
                <w:sz w:val="19"/>
              </w:rPr>
              <w:t>10</w:t>
            </w:r>
          </w:p>
        </w:tc>
        <w:tc>
          <w:tcPr>
            <w:tcW w:type="dxa" w:w="3118"/>
            <w:shd w:val="clear" w:color="auto" w:fill="F2F2F2"/>
          </w:tcPr>
          <w:p>
            <w:pPr>
              <w:spacing w:after="40"/>
            </w:pPr>
            <w:r>
              <w:rPr>
                <w:b w:val="0"/>
                <w:sz w:val="19"/>
              </w:rPr>
              <w:t>Ceux qui doutent sont des traîtres</w:t>
            </w:r>
          </w:p>
        </w:tc>
        <w:tc>
          <w:tcPr>
            <w:tcW w:type="dxa" w:w="5669"/>
            <w:shd w:val="clear" w:color="auto" w:fill="F2F2F2"/>
          </w:tcPr>
          <w:p>
            <w:pPr>
              <w:spacing w:after="40"/>
            </w:pPr>
            <w:r>
              <w:rPr>
                <w:b w:val="0"/>
                <w:sz w:val="19"/>
              </w:rPr>
              <w:t>Disqualification de la contradiction au lieu de la réponse : journalistes présentés en agents.</w:t>
            </w:r>
          </w:p>
        </w:tc>
      </w:tr>
    </w:tbl>
    <w:p>
      <w:pPr>
        <w:spacing w:after="40"/>
      </w:pPr>
    </w:p>
    <w:p>
      <w:pPr>
        <w:pStyle w:val="Heading2"/>
      </w:pPr>
      <w:r>
        <w:t>4.1 Les trois ressorts, et le signal qui compte</w:t>
      </w:r>
    </w:p>
    <w:p>
      <w:pPr>
        <w:pStyle w:val="ListBullet"/>
      </w:pPr>
      <w:r>
        <w:rPr>
          <w:b/>
        </w:rPr>
        <w:t xml:space="preserve">L'inversion — </w:t>
      </w:r>
      <w:r>
        <w:t>qui est responsable, qui est victime (principes 1, 2, 5).</w:t>
      </w:r>
    </w:p>
    <w:p>
      <w:pPr>
        <w:pStyle w:val="ListBullet"/>
      </w:pPr>
      <w:r>
        <w:rPr>
          <w:b/>
        </w:rPr>
        <w:t xml:space="preserve">L'asymétrie morale — </w:t>
      </w:r>
      <w:r>
        <w:t>nous, mal involontaire ; eux, mal intentionnel (principes 3, 5, 6).</w:t>
      </w:r>
    </w:p>
    <w:p>
      <w:pPr>
        <w:pStyle w:val="ListBullet"/>
      </w:pPr>
      <w:r>
        <w:rPr>
          <w:b/>
        </w:rPr>
        <w:t xml:space="preserve">La clôture du jugement — </w:t>
      </w:r>
      <w:r>
        <w:t>rendre le doute illégitime (principes 8, 9, 10).</w:t>
      </w:r>
    </w:p>
    <w:p>
      <w:r>
        <w:rPr>
          <w:b w:val="0"/>
          <w:i w:val="0"/>
        </w:rPr>
        <w:t xml:space="preserve">Le signal de détection le plus fiable n'est pas la présence d'un principe, c'est </w:t>
      </w:r>
      <w:r>
        <w:rPr>
          <w:b/>
          <w:i w:val="0"/>
        </w:rPr>
        <w:t>l'empilement</w:t>
      </w:r>
      <w:r>
        <w:rPr>
          <w:b w:val="0"/>
          <w:i w:val="0"/>
        </w:rPr>
        <w:t>. Un discours politique ordinaire en utilise un. Une construction de propagande les superpose : cause noble, plus atrocités adverses, plus doute assimilé à la trahison. Quand trois ressorts se combinent dans un même texte court, l'hypothèse d'un contenu fabriqué devient raisonnable.</w:t>
      </w:r>
    </w:p>
    <w:p>
      <w:r>
        <w:br w:type="page"/>
      </w:r>
    </w:p>
    <w:p>
      <w:pPr>
        <w:pStyle w:val="Heading1"/>
      </w:pPr>
      <w:r>
        <w:t>5. Cartographier un paysage médiatique : méthode en cinq passes</w:t>
      </w:r>
    </w:p>
    <w:p>
      <w:r>
        <w:rPr>
          <w:b w:val="0"/>
          <w:i w:val="0"/>
        </w:rPr>
        <w:t>L'ordre des passes compte. Commencer par chercher les relais conduit à en trouver partout ; commencer par établir la normalité du paysage permet ensuite de voir ce qui s'en écarte.</w:t>
      </w:r>
    </w:p>
    <w:p>
      <w:pPr>
        <w:pStyle w:val="Heading2"/>
      </w:pPr>
      <w:r>
        <w:t>Passe 1 — Établir la carte normale</w:t>
      </w:r>
    </w:p>
    <w:p>
      <w:r>
        <w:rPr>
          <w:b w:val="0"/>
          <w:i w:val="0"/>
        </w:rPr>
        <w:t>Avant toute recherche d'anomalie, il faut la référence. Qui informe réellement la population, dans quelle langue, par quel canal, avec quelle audience ? La réponse est rarement celle qu'on attend : dans plusieurs pays de la région, une part importante de l'information circule désormais par messagerie et par vidéo, hors des sites d'information.</w:t>
      </w:r>
    </w:p>
    <w:p>
      <w:pPr>
        <w:pStyle w:val="ListBullet"/>
      </w:pPr>
      <w:r>
        <w:t>Le service public : audience réelle, financement, tutelle, crédibilité mesurée.</w:t>
      </w:r>
    </w:p>
    <w:p>
      <w:pPr>
        <w:pStyle w:val="ListBullet"/>
      </w:pPr>
      <w:r>
        <w:t>Les titres privés nationaux : propriétaires, groupes, modèle économique, dépendance publicitaire.</w:t>
      </w:r>
    </w:p>
    <w:p>
      <w:pPr>
        <w:pStyle w:val="ListBullet"/>
      </w:pPr>
      <w:r>
        <w:t>La presse régionale et locale, souvent fragile, souvent rachetable à bas coût.</w:t>
      </w:r>
    </w:p>
    <w:p>
      <w:pPr>
        <w:pStyle w:val="ListBullet"/>
      </w:pPr>
      <w:r>
        <w:t>Les médias en langues minoritaires, et ce qui les remplace lorsqu'ils disparaissent.</w:t>
      </w:r>
    </w:p>
    <w:p>
      <w:pPr>
        <w:pStyle w:val="ListBullet"/>
      </w:pPr>
      <w:r>
        <w:t>Les canaux de contournement : messageries, chaînes vidéo, agrégateurs, forums.</w:t>
      </w:r>
    </w:p>
    <w:p>
      <w:pPr>
        <w:pStyle w:val="ListBullet"/>
      </w:pPr>
      <w:r>
        <w:t>Les points de distribution matériels : câble, satellite, kiosques, opérateurs.</w:t>
      </w:r>
    </w:p>
    <w:p>
      <w:pPr>
        <w:pStyle w:val="Heading2"/>
      </w:pPr>
      <w:r>
        <w:t>Passe 2 — Repérer les fractures exploitables</w:t>
      </w:r>
    </w:p>
    <w:p>
      <w:r>
        <w:rPr>
          <w:b w:val="0"/>
          <w:i w:val="0"/>
        </w:rPr>
        <w:t>C'est la matière première. Elles préexistent à toute opération et se documentent sans urgence. Une fracture n'est pas une faiblesse morale du pays : c'est un sujet sur lequel une partie de la population a de vraies raisons d'être en colère.</w:t>
      </w:r>
    </w:p>
    <w:tbl>
      <w:tblPr>
        <w:tblStyle w:val="TableGrid"/>
        <w:tblW w:type="auto" w:w="0"/>
        <w:jc w:val="center"/>
        <w:tblLook w:firstColumn="1" w:firstRow="1" w:lastColumn="0" w:lastRow="0" w:noHBand="0" w:noVBand="1" w:val="04A0"/>
      </w:tblPr>
      <w:tblGrid>
        <w:gridCol w:w="4873"/>
        <w:gridCol w:w="4873"/>
      </w:tblGrid>
      <w:tr>
        <w:tc>
          <w:tcPr>
            <w:tcW w:type="dxa" w:w="2494"/>
            <w:shd w:val="clear" w:color="auto" w:fill="DCE4F0"/>
          </w:tcPr>
          <w:p>
            <w:pPr>
              <w:spacing w:after="40"/>
            </w:pPr>
            <w:r>
              <w:rPr>
                <w:b/>
                <w:color w:val="1F3B63"/>
                <w:sz w:val="19"/>
              </w:rPr>
              <w:t>Famille de fractures</w:t>
            </w:r>
          </w:p>
        </w:tc>
        <w:tc>
          <w:tcPr>
            <w:tcW w:type="dxa" w:w="6803"/>
            <w:shd w:val="clear" w:color="auto" w:fill="DCE4F0"/>
          </w:tcPr>
          <w:p>
            <w:pPr>
              <w:spacing w:after="40"/>
            </w:pPr>
            <w:r>
              <w:rPr>
                <w:b/>
                <w:color w:val="1F3B63"/>
                <w:sz w:val="19"/>
              </w:rPr>
              <w:t>Questions d'entrée</w:t>
            </w:r>
          </w:p>
        </w:tc>
      </w:tr>
      <w:tr>
        <w:tc>
          <w:tcPr>
            <w:tcW w:type="dxa" w:w="2494"/>
          </w:tcPr>
          <w:p>
            <w:pPr>
              <w:spacing w:after="40"/>
            </w:pPr>
            <w:r>
              <w:rPr>
                <w:b/>
                <w:sz w:val="19"/>
              </w:rPr>
              <w:t>Langue et appartenance</w:t>
            </w:r>
          </w:p>
        </w:tc>
        <w:tc>
          <w:tcPr>
            <w:tcW w:type="dxa" w:w="6803"/>
          </w:tcPr>
          <w:p>
            <w:pPr>
              <w:spacing w:after="40"/>
            </w:pPr>
            <w:r>
              <w:rPr>
                <w:b w:val="0"/>
                <w:sz w:val="19"/>
              </w:rPr>
              <w:t>Quelles communautés linguistiques ? S'informent-elles ailleurs ? Se sentent-elles représentées par les institutions ?</w:t>
            </w:r>
          </w:p>
        </w:tc>
      </w:tr>
      <w:tr>
        <w:tc>
          <w:tcPr>
            <w:tcW w:type="dxa" w:w="2494"/>
            <w:shd w:val="clear" w:color="auto" w:fill="F2F2F2"/>
          </w:tcPr>
          <w:p>
            <w:pPr>
              <w:spacing w:after="40"/>
            </w:pPr>
            <w:r>
              <w:rPr>
                <w:b/>
                <w:sz w:val="19"/>
              </w:rPr>
              <w:t>Économie et frontière</w:t>
            </w:r>
          </w:p>
        </w:tc>
        <w:tc>
          <w:tcPr>
            <w:tcW w:type="dxa" w:w="6803"/>
            <w:shd w:val="clear" w:color="auto" w:fill="F2F2F2"/>
          </w:tcPr>
          <w:p>
            <w:pPr>
              <w:spacing w:after="40"/>
            </w:pPr>
            <w:r>
              <w:rPr>
                <w:b w:val="0"/>
                <w:sz w:val="19"/>
              </w:rPr>
              <w:t>Qui vit du transit, du commerce frontalier, de la logistique ? Qui a perdu son revenu avec les fermetures et les sanctions ?</w:t>
            </w:r>
          </w:p>
        </w:tc>
      </w:tr>
      <w:tr>
        <w:tc>
          <w:tcPr>
            <w:tcW w:type="dxa" w:w="2494"/>
          </w:tcPr>
          <w:p>
            <w:pPr>
              <w:spacing w:after="40"/>
            </w:pPr>
            <w:r>
              <w:rPr>
                <w:b/>
                <w:sz w:val="19"/>
              </w:rPr>
              <w:t>Énergie et coût de la vie</w:t>
            </w:r>
          </w:p>
        </w:tc>
        <w:tc>
          <w:tcPr>
            <w:tcW w:type="dxa" w:w="6803"/>
          </w:tcPr>
          <w:p>
            <w:pPr>
              <w:spacing w:after="40"/>
            </w:pPr>
            <w:r>
              <w:rPr>
                <w:b w:val="0"/>
                <w:sz w:val="19"/>
              </w:rPr>
              <w:t>Prix, dépendances héritées, grands projets contestés, factures.</w:t>
            </w:r>
          </w:p>
        </w:tc>
      </w:tr>
      <w:tr>
        <w:tc>
          <w:tcPr>
            <w:tcW w:type="dxa" w:w="2494"/>
            <w:shd w:val="clear" w:color="auto" w:fill="F2F2F2"/>
          </w:tcPr>
          <w:p>
            <w:pPr>
              <w:spacing w:after="40"/>
            </w:pPr>
            <w:r>
              <w:rPr>
                <w:b/>
                <w:sz w:val="19"/>
              </w:rPr>
              <w:t>Mémoire et histoire</w:t>
            </w:r>
          </w:p>
        </w:tc>
        <w:tc>
          <w:tcPr>
            <w:tcW w:type="dxa" w:w="6803"/>
            <w:shd w:val="clear" w:color="auto" w:fill="F2F2F2"/>
          </w:tcPr>
          <w:p>
            <w:pPr>
              <w:spacing w:after="40"/>
            </w:pPr>
            <w:r>
              <w:rPr>
                <w:b w:val="0"/>
                <w:sz w:val="19"/>
              </w:rPr>
              <w:t>Quels épisodes restent conflictuels ? Quelles commémorations divisent ? Quelles statues, quels noms de rue ?</w:t>
            </w:r>
          </w:p>
        </w:tc>
      </w:tr>
      <w:tr>
        <w:tc>
          <w:tcPr>
            <w:tcW w:type="dxa" w:w="2494"/>
          </w:tcPr>
          <w:p>
            <w:pPr>
              <w:spacing w:after="40"/>
            </w:pPr>
            <w:r>
              <w:rPr>
                <w:b/>
                <w:sz w:val="19"/>
              </w:rPr>
              <w:t>Défiance institutionnelle</w:t>
            </w:r>
          </w:p>
        </w:tc>
        <w:tc>
          <w:tcPr>
            <w:tcW w:type="dxa" w:w="6803"/>
          </w:tcPr>
          <w:p>
            <w:pPr>
              <w:spacing w:after="40"/>
            </w:pPr>
            <w:r>
              <w:rPr>
                <w:b w:val="0"/>
                <w:sz w:val="19"/>
              </w:rPr>
              <w:t>Corruption réelle, affaires judiciaires, distance entre capitale et régions.</w:t>
            </w:r>
          </w:p>
        </w:tc>
      </w:tr>
      <w:tr>
        <w:tc>
          <w:tcPr>
            <w:tcW w:type="dxa" w:w="2494"/>
            <w:shd w:val="clear" w:color="auto" w:fill="F2F2F2"/>
          </w:tcPr>
          <w:p>
            <w:pPr>
              <w:spacing w:after="40"/>
            </w:pPr>
            <w:r>
              <w:rPr>
                <w:b/>
                <w:sz w:val="19"/>
              </w:rPr>
              <w:t>Présence militaire alliée</w:t>
            </w:r>
          </w:p>
        </w:tc>
        <w:tc>
          <w:tcPr>
            <w:tcW w:type="dxa" w:w="6803"/>
            <w:shd w:val="clear" w:color="auto" w:fill="F2F2F2"/>
          </w:tcPr>
          <w:p>
            <w:pPr>
              <w:spacing w:after="40"/>
            </w:pPr>
            <w:r>
              <w:rPr>
                <w:b w:val="0"/>
                <w:sz w:val="19"/>
              </w:rPr>
              <w:t>Nuisances locales, incidents, foncier, emploi, exercices. Sujet particulièrement exploité.</w:t>
            </w:r>
          </w:p>
        </w:tc>
      </w:tr>
      <w:tr>
        <w:tc>
          <w:tcPr>
            <w:tcW w:type="dxa" w:w="2494"/>
          </w:tcPr>
          <w:p>
            <w:pPr>
              <w:spacing w:after="40"/>
            </w:pPr>
            <w:r>
              <w:rPr>
                <w:b/>
                <w:sz w:val="19"/>
              </w:rPr>
              <w:t>Migration et frontière</w:t>
            </w:r>
          </w:p>
        </w:tc>
        <w:tc>
          <w:tcPr>
            <w:tcW w:type="dxa" w:w="6803"/>
          </w:tcPr>
          <w:p>
            <w:pPr>
              <w:spacing w:after="40"/>
            </w:pPr>
            <w:r>
              <w:rPr>
                <w:b w:val="0"/>
                <w:sz w:val="19"/>
              </w:rPr>
              <w:t>Flux instrumentalisés, accueil, charge perçue sur les services publics.</w:t>
            </w:r>
          </w:p>
        </w:tc>
      </w:tr>
    </w:tbl>
    <w:p>
      <w:pPr>
        <w:spacing w:after="40"/>
      </w:pPr>
    </w:p>
    <w:p>
      <w:pPr>
        <w:pStyle w:val="Heading2"/>
      </w:pPr>
      <w:r>
        <w:t>Passe 3 — Inventorier les acteurs, par famille</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DCE4F0"/>
          </w:tcPr>
          <w:p>
            <w:pPr>
              <w:spacing w:after="40"/>
            </w:pPr>
            <w:r>
              <w:rPr>
                <w:b/>
                <w:color w:val="1F3B63"/>
                <w:sz w:val="19"/>
              </w:rPr>
              <w:t>Famille d'acteurs</w:t>
            </w:r>
          </w:p>
        </w:tc>
        <w:tc>
          <w:tcPr>
            <w:tcW w:type="dxa" w:w="3969"/>
            <w:shd w:val="clear" w:color="auto" w:fill="DCE4F0"/>
          </w:tcPr>
          <w:p>
            <w:pPr>
              <w:spacing w:after="40"/>
            </w:pPr>
            <w:r>
              <w:rPr>
                <w:b/>
                <w:color w:val="1F3B63"/>
                <w:sz w:val="19"/>
              </w:rPr>
              <w:t>Ce qu'on y range</w:t>
            </w:r>
          </w:p>
        </w:tc>
        <w:tc>
          <w:tcPr>
            <w:tcW w:type="dxa" w:w="3288"/>
            <w:shd w:val="clear" w:color="auto" w:fill="DCE4F0"/>
          </w:tcPr>
          <w:p>
            <w:pPr>
              <w:spacing w:after="40"/>
            </w:pPr>
            <w:r>
              <w:rPr>
                <w:b/>
                <w:color w:val="1F3B63"/>
                <w:sz w:val="19"/>
              </w:rPr>
              <w:t>Priorité</w:t>
            </w:r>
          </w:p>
        </w:tc>
      </w:tr>
      <w:tr>
        <w:tc>
          <w:tcPr>
            <w:tcW w:type="dxa" w:w="2041"/>
          </w:tcPr>
          <w:p>
            <w:pPr>
              <w:spacing w:after="40"/>
            </w:pPr>
            <w:r>
              <w:rPr>
                <w:b/>
                <w:sz w:val="19"/>
              </w:rPr>
              <w:t>Appareil d'État étranger</w:t>
            </w:r>
          </w:p>
        </w:tc>
        <w:tc>
          <w:tcPr>
            <w:tcW w:type="dxa" w:w="3969"/>
          </w:tcPr>
          <w:p>
            <w:pPr>
              <w:spacing w:after="40"/>
            </w:pPr>
            <w:r>
              <w:rPr>
                <w:b w:val="0"/>
                <w:sz w:val="19"/>
              </w:rPr>
              <w:t>Ambassades, centres culturels, agences de presse officielles, comptes diplomatiques.</w:t>
            </w:r>
          </w:p>
        </w:tc>
        <w:tc>
          <w:tcPr>
            <w:tcW w:type="dxa" w:w="3288"/>
          </w:tcPr>
          <w:p>
            <w:pPr>
              <w:spacing w:after="40"/>
            </w:pPr>
            <w:r>
              <w:rPr>
                <w:b w:val="0"/>
                <w:sz w:val="19"/>
              </w:rPr>
              <w:t>Repère, pas cible : l'activité y est publique et assumée.</w:t>
            </w:r>
          </w:p>
        </w:tc>
      </w:tr>
      <w:tr>
        <w:tc>
          <w:tcPr>
            <w:tcW w:type="dxa" w:w="2041"/>
            <w:shd w:val="clear" w:color="auto" w:fill="F2F2F2"/>
          </w:tcPr>
          <w:p>
            <w:pPr>
              <w:spacing w:after="40"/>
            </w:pPr>
            <w:r>
              <w:rPr>
                <w:b/>
                <w:sz w:val="19"/>
              </w:rPr>
              <w:t>Médias d'État et satellites</w:t>
            </w:r>
          </w:p>
        </w:tc>
        <w:tc>
          <w:tcPr>
            <w:tcW w:type="dxa" w:w="3969"/>
            <w:shd w:val="clear" w:color="auto" w:fill="F2F2F2"/>
          </w:tcPr>
          <w:p>
            <w:pPr>
              <w:spacing w:after="40"/>
            </w:pPr>
            <w:r>
              <w:rPr>
                <w:b w:val="0"/>
                <w:sz w:val="19"/>
              </w:rPr>
              <w:t>Chaînes et agences soumises à sanctions ou retirées de la diffusion, et leurs miroirs.</w:t>
            </w:r>
          </w:p>
        </w:tc>
        <w:tc>
          <w:tcPr>
            <w:tcW w:type="dxa" w:w="3288"/>
            <w:shd w:val="clear" w:color="auto" w:fill="F2F2F2"/>
          </w:tcPr>
          <w:p>
            <w:pPr>
              <w:spacing w:after="40"/>
            </w:pPr>
            <w:r>
              <w:rPr>
                <w:b w:val="0"/>
                <w:sz w:val="19"/>
              </w:rPr>
              <w:t>Suivre leur contournement plus que leur contenu.</w:t>
            </w:r>
          </w:p>
        </w:tc>
      </w:tr>
      <w:tr>
        <w:tc>
          <w:tcPr>
            <w:tcW w:type="dxa" w:w="2041"/>
          </w:tcPr>
          <w:p>
            <w:pPr>
              <w:spacing w:after="40"/>
            </w:pPr>
            <w:r>
              <w:rPr>
                <w:b/>
                <w:sz w:val="19"/>
              </w:rPr>
              <w:t>Médias locaux vulnérables</w:t>
            </w:r>
          </w:p>
        </w:tc>
        <w:tc>
          <w:tcPr>
            <w:tcW w:type="dxa" w:w="3969"/>
          </w:tcPr>
          <w:p>
            <w:pPr>
              <w:spacing w:after="40"/>
            </w:pPr>
            <w:r>
              <w:rPr>
                <w:b w:val="0"/>
                <w:sz w:val="19"/>
              </w:rPr>
              <w:t>Titres régionaux, radios locales, sites d'information à faible effectif.</w:t>
            </w:r>
          </w:p>
        </w:tc>
        <w:tc>
          <w:tcPr>
            <w:tcW w:type="dxa" w:w="3288"/>
          </w:tcPr>
          <w:p>
            <w:pPr>
              <w:spacing w:after="40"/>
            </w:pPr>
            <w:r>
              <w:rPr>
                <w:b w:val="0"/>
                <w:sz w:val="19"/>
              </w:rPr>
              <w:t>Priorité haute : c'est le maillon du blanchiment.</w:t>
            </w:r>
          </w:p>
        </w:tc>
      </w:tr>
      <w:tr>
        <w:tc>
          <w:tcPr>
            <w:tcW w:type="dxa" w:w="2041"/>
            <w:shd w:val="clear" w:color="auto" w:fill="F2F2F2"/>
          </w:tcPr>
          <w:p>
            <w:pPr>
              <w:spacing w:after="40"/>
            </w:pPr>
            <w:r>
              <w:rPr>
                <w:b/>
                <w:sz w:val="19"/>
              </w:rPr>
              <w:t>Pseudo-expertise</w:t>
            </w:r>
          </w:p>
        </w:tc>
        <w:tc>
          <w:tcPr>
            <w:tcW w:type="dxa" w:w="3969"/>
            <w:shd w:val="clear" w:color="auto" w:fill="F2F2F2"/>
          </w:tcPr>
          <w:p>
            <w:pPr>
              <w:spacing w:after="40"/>
            </w:pPr>
            <w:r>
              <w:rPr>
                <w:b w:val="0"/>
                <w:sz w:val="19"/>
              </w:rPr>
              <w:t>Think tanks récents, instituts d'analyse, ONG sans antériorité, chaires financées.</w:t>
            </w:r>
          </w:p>
        </w:tc>
        <w:tc>
          <w:tcPr>
            <w:tcW w:type="dxa" w:w="3288"/>
            <w:shd w:val="clear" w:color="auto" w:fill="F2F2F2"/>
          </w:tcPr>
          <w:p>
            <w:pPr>
              <w:spacing w:after="40"/>
            </w:pPr>
            <w:r>
              <w:rPr>
                <w:b w:val="0"/>
                <w:sz w:val="19"/>
              </w:rPr>
              <w:t>Priorité haute : bon marché, très efficace.</w:t>
            </w:r>
          </w:p>
        </w:tc>
      </w:tr>
      <w:tr>
        <w:tc>
          <w:tcPr>
            <w:tcW w:type="dxa" w:w="2041"/>
          </w:tcPr>
          <w:p>
            <w:pPr>
              <w:spacing w:after="40"/>
            </w:pPr>
            <w:r>
              <w:rPr>
                <w:b/>
                <w:sz w:val="19"/>
              </w:rPr>
              <w:t>Influenceurs et chaînes</w:t>
            </w:r>
          </w:p>
        </w:tc>
        <w:tc>
          <w:tcPr>
            <w:tcW w:type="dxa" w:w="3969"/>
          </w:tcPr>
          <w:p>
            <w:pPr>
              <w:spacing w:after="40"/>
            </w:pPr>
            <w:r>
              <w:rPr>
                <w:b w:val="0"/>
                <w:sz w:val="19"/>
              </w:rPr>
              <w:t>Comptes à forte audience, chaînes de messagerie, vidéastes, podcasts.</w:t>
            </w:r>
          </w:p>
        </w:tc>
        <w:tc>
          <w:tcPr>
            <w:tcW w:type="dxa" w:w="3288"/>
          </w:tcPr>
          <w:p>
            <w:pPr>
              <w:spacing w:after="40"/>
            </w:pPr>
            <w:r>
              <w:rPr>
                <w:b w:val="0"/>
                <w:sz w:val="19"/>
              </w:rPr>
              <w:t>Priorité haute pour les publics jeunes et minoritaires.</w:t>
            </w:r>
          </w:p>
        </w:tc>
      </w:tr>
      <w:tr>
        <w:tc>
          <w:tcPr>
            <w:tcW w:type="dxa" w:w="2041"/>
            <w:shd w:val="clear" w:color="auto" w:fill="F2F2F2"/>
          </w:tcPr>
          <w:p>
            <w:pPr>
              <w:spacing w:after="40"/>
            </w:pPr>
            <w:r>
              <w:rPr>
                <w:b/>
                <w:sz w:val="19"/>
              </w:rPr>
              <w:t>Acteurs politiques</w:t>
            </w:r>
          </w:p>
        </w:tc>
        <w:tc>
          <w:tcPr>
            <w:tcW w:type="dxa" w:w="3969"/>
            <w:shd w:val="clear" w:color="auto" w:fill="F2F2F2"/>
          </w:tcPr>
          <w:p>
            <w:pPr>
              <w:spacing w:after="40"/>
            </w:pPr>
            <w:r>
              <w:rPr>
                <w:b w:val="0"/>
                <w:sz w:val="19"/>
              </w:rPr>
              <w:t>Partis marginaux, élus locaux, anciens responsables reconvertis.</w:t>
            </w:r>
          </w:p>
        </w:tc>
        <w:tc>
          <w:tcPr>
            <w:tcW w:type="dxa" w:w="3288"/>
            <w:shd w:val="clear" w:color="auto" w:fill="F2F2F2"/>
          </w:tcPr>
          <w:p>
            <w:pPr>
              <w:spacing w:after="40"/>
            </w:pPr>
            <w:r>
              <w:rPr>
                <w:b w:val="0"/>
                <w:sz w:val="19"/>
              </w:rPr>
              <w:t>Prudence maximale : le soupçon a ici un coût démocratique.</w:t>
            </w:r>
          </w:p>
        </w:tc>
      </w:tr>
      <w:tr>
        <w:tc>
          <w:tcPr>
            <w:tcW w:type="dxa" w:w="2041"/>
          </w:tcPr>
          <w:p>
            <w:pPr>
              <w:spacing w:after="40"/>
            </w:pPr>
            <w:r>
              <w:rPr>
                <w:b/>
                <w:sz w:val="19"/>
              </w:rPr>
              <w:t>Milieux économiques et confessionnels</w:t>
            </w:r>
          </w:p>
        </w:tc>
        <w:tc>
          <w:tcPr>
            <w:tcW w:type="dxa" w:w="3969"/>
          </w:tcPr>
          <w:p>
            <w:pPr>
              <w:spacing w:after="40"/>
            </w:pPr>
            <w:r>
              <w:rPr>
                <w:b w:val="0"/>
                <w:sz w:val="19"/>
              </w:rPr>
              <w:t>Propriétaires, annonceurs, structures religieuses, associations culturelles.</w:t>
            </w:r>
          </w:p>
        </w:tc>
        <w:tc>
          <w:tcPr>
            <w:tcW w:type="dxa" w:w="3288"/>
          </w:tcPr>
          <w:p>
            <w:pPr>
              <w:spacing w:after="40"/>
            </w:pPr>
            <w:r>
              <w:rPr>
                <w:b w:val="0"/>
                <w:sz w:val="19"/>
              </w:rPr>
              <w:t>Souvent le vrai point de pression, en amont des rédactions.</w:t>
            </w:r>
          </w:p>
        </w:tc>
      </w:tr>
    </w:tbl>
    <w:p>
      <w:pPr>
        <w:spacing w:after="40"/>
      </w:pPr>
    </w:p>
    <w:p>
      <w:pPr>
        <w:pStyle w:val="Heading2"/>
      </w:pPr>
      <w:r>
        <w:t>Passe 4 — Qualifier : quels leviers de pression pèsent sur cet acteur ?</w:t>
      </w:r>
    </w:p>
    <w:p>
      <w:r>
        <w:rPr>
          <w:b w:val="0"/>
          <w:i w:val="0"/>
        </w:rPr>
        <w:t>La question n'est pas « est-il pro-russe ? » mais « par quoi est-il tenu, et que lui en coûterait-il de dire non ? ». Une rédaction indépendante dont le propriétaire dépend d'un contrat étranger est sous pression sans qu'aucun journaliste n'ait été approché.</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DCE4F0"/>
          </w:tcPr>
          <w:p>
            <w:pPr>
              <w:spacing w:after="40"/>
            </w:pPr>
            <w:r>
              <w:rPr>
                <w:b/>
                <w:color w:val="1F3B63"/>
                <w:sz w:val="19"/>
              </w:rPr>
              <w:t>Levier</w:t>
            </w:r>
          </w:p>
        </w:tc>
        <w:tc>
          <w:tcPr>
            <w:tcW w:type="dxa" w:w="3742"/>
            <w:shd w:val="clear" w:color="auto" w:fill="DCE4F0"/>
          </w:tcPr>
          <w:p>
            <w:pPr>
              <w:spacing w:after="40"/>
            </w:pPr>
            <w:r>
              <w:rPr>
                <w:b/>
                <w:color w:val="1F3B63"/>
                <w:sz w:val="19"/>
              </w:rPr>
              <w:t>Comment il se voit</w:t>
            </w:r>
          </w:p>
        </w:tc>
        <w:tc>
          <w:tcPr>
            <w:tcW w:type="dxa" w:w="3628"/>
            <w:shd w:val="clear" w:color="auto" w:fill="DCE4F0"/>
          </w:tcPr>
          <w:p>
            <w:pPr>
              <w:spacing w:after="40"/>
            </w:pPr>
            <w:r>
              <w:rPr>
                <w:b/>
                <w:color w:val="1F3B63"/>
                <w:sz w:val="19"/>
              </w:rPr>
              <w:t>Question à poser</w:t>
            </w:r>
          </w:p>
        </w:tc>
      </w:tr>
      <w:tr>
        <w:tc>
          <w:tcPr>
            <w:tcW w:type="dxa" w:w="1928"/>
          </w:tcPr>
          <w:p>
            <w:pPr>
              <w:spacing w:after="40"/>
            </w:pPr>
            <w:r>
              <w:rPr>
                <w:b/>
                <w:sz w:val="19"/>
              </w:rPr>
              <w:t>Capital et propriété</w:t>
            </w:r>
          </w:p>
        </w:tc>
        <w:tc>
          <w:tcPr>
            <w:tcW w:type="dxa" w:w="3742"/>
          </w:tcPr>
          <w:p>
            <w:pPr>
              <w:spacing w:after="40"/>
            </w:pPr>
            <w:r>
              <w:rPr>
                <w:b w:val="0"/>
                <w:sz w:val="19"/>
              </w:rPr>
              <w:t>Registres d'entreprises, holdings, prête-noms, changements d'actionnaires récents.</w:t>
            </w:r>
          </w:p>
        </w:tc>
        <w:tc>
          <w:tcPr>
            <w:tcW w:type="dxa" w:w="3628"/>
          </w:tcPr>
          <w:p>
            <w:pPr>
              <w:spacing w:after="40"/>
            </w:pPr>
            <w:r>
              <w:rPr>
                <w:b w:val="0"/>
                <w:sz w:val="19"/>
              </w:rPr>
              <w:t>Qui possède réellement, et depuis quand ?</w:t>
            </w:r>
          </w:p>
        </w:tc>
      </w:tr>
      <w:tr>
        <w:tc>
          <w:tcPr>
            <w:tcW w:type="dxa" w:w="1928"/>
            <w:shd w:val="clear" w:color="auto" w:fill="F2F2F2"/>
          </w:tcPr>
          <w:p>
            <w:pPr>
              <w:spacing w:after="40"/>
            </w:pPr>
            <w:r>
              <w:rPr>
                <w:b/>
                <w:sz w:val="19"/>
              </w:rPr>
              <w:t>Recettes publicitaires</w:t>
            </w:r>
          </w:p>
        </w:tc>
        <w:tc>
          <w:tcPr>
            <w:tcW w:type="dxa" w:w="3742"/>
            <w:shd w:val="clear" w:color="auto" w:fill="F2F2F2"/>
          </w:tcPr>
          <w:p>
            <w:pPr>
              <w:spacing w:after="40"/>
            </w:pPr>
            <w:r>
              <w:rPr>
                <w:b w:val="0"/>
                <w:sz w:val="19"/>
              </w:rPr>
              <w:t>Concentration des annonceurs, publicité d'État, régies uniques.</w:t>
            </w:r>
          </w:p>
        </w:tc>
        <w:tc>
          <w:tcPr>
            <w:tcW w:type="dxa" w:w="3628"/>
            <w:shd w:val="clear" w:color="auto" w:fill="F2F2F2"/>
          </w:tcPr>
          <w:p>
            <w:pPr>
              <w:spacing w:after="40"/>
            </w:pPr>
            <w:r>
              <w:rPr>
                <w:b w:val="0"/>
                <w:sz w:val="19"/>
              </w:rPr>
              <w:t>Quel annonceur peut faire couler ce titre en partant ?</w:t>
            </w:r>
          </w:p>
        </w:tc>
      </w:tr>
      <w:tr>
        <w:tc>
          <w:tcPr>
            <w:tcW w:type="dxa" w:w="1928"/>
          </w:tcPr>
          <w:p>
            <w:pPr>
              <w:spacing w:after="40"/>
            </w:pPr>
            <w:r>
              <w:rPr>
                <w:b/>
                <w:sz w:val="19"/>
              </w:rPr>
              <w:t>Distribution et infrastructure</w:t>
            </w:r>
          </w:p>
        </w:tc>
        <w:tc>
          <w:tcPr>
            <w:tcW w:type="dxa" w:w="3742"/>
          </w:tcPr>
          <w:p>
            <w:pPr>
              <w:spacing w:after="40"/>
            </w:pPr>
            <w:r>
              <w:rPr>
                <w:b w:val="0"/>
                <w:sz w:val="19"/>
              </w:rPr>
              <w:t>Hébergement, câble, satellite, application, référencement.</w:t>
            </w:r>
          </w:p>
        </w:tc>
        <w:tc>
          <w:tcPr>
            <w:tcW w:type="dxa" w:w="3628"/>
          </w:tcPr>
          <w:p>
            <w:pPr>
              <w:spacing w:after="40"/>
            </w:pPr>
            <w:r>
              <w:rPr>
                <w:b w:val="0"/>
                <w:sz w:val="19"/>
              </w:rPr>
              <w:t>Qui peut couper l'accès sans décision publique ?</w:t>
            </w:r>
          </w:p>
        </w:tc>
      </w:tr>
      <w:tr>
        <w:tc>
          <w:tcPr>
            <w:tcW w:type="dxa" w:w="1928"/>
            <w:shd w:val="clear" w:color="auto" w:fill="F2F2F2"/>
          </w:tcPr>
          <w:p>
            <w:pPr>
              <w:spacing w:after="40"/>
            </w:pPr>
            <w:r>
              <w:rPr>
                <w:b/>
                <w:sz w:val="19"/>
              </w:rPr>
              <w:t>Contrats et dépendances économiques</w:t>
            </w:r>
          </w:p>
        </w:tc>
        <w:tc>
          <w:tcPr>
            <w:tcW w:type="dxa" w:w="3742"/>
            <w:shd w:val="clear" w:color="auto" w:fill="F2F2F2"/>
          </w:tcPr>
          <w:p>
            <w:pPr>
              <w:spacing w:after="40"/>
            </w:pPr>
            <w:r>
              <w:rPr>
                <w:b w:val="0"/>
                <w:sz w:val="19"/>
              </w:rPr>
              <w:t>Énergie, transport, matières premières, marchés publics liés au propriétaire.</w:t>
            </w:r>
          </w:p>
        </w:tc>
        <w:tc>
          <w:tcPr>
            <w:tcW w:type="dxa" w:w="3628"/>
            <w:shd w:val="clear" w:color="auto" w:fill="F2F2F2"/>
          </w:tcPr>
          <w:p>
            <w:pPr>
              <w:spacing w:after="40"/>
            </w:pPr>
            <w:r>
              <w:rPr>
                <w:b w:val="0"/>
                <w:sz w:val="19"/>
              </w:rPr>
              <w:t>Où l'argent du propriétaire est-il exposé ?</w:t>
            </w:r>
          </w:p>
        </w:tc>
      </w:tr>
      <w:tr>
        <w:tc>
          <w:tcPr>
            <w:tcW w:type="dxa" w:w="1928"/>
          </w:tcPr>
          <w:p>
            <w:pPr>
              <w:spacing w:after="40"/>
            </w:pPr>
            <w:r>
              <w:rPr>
                <w:b/>
                <w:sz w:val="19"/>
              </w:rPr>
              <w:t>Famille, biens, mobilité</w:t>
            </w:r>
          </w:p>
        </w:tc>
        <w:tc>
          <w:tcPr>
            <w:tcW w:type="dxa" w:w="3742"/>
          </w:tcPr>
          <w:p>
            <w:pPr>
              <w:spacing w:after="40"/>
            </w:pPr>
            <w:r>
              <w:rPr>
                <w:b w:val="0"/>
                <w:sz w:val="19"/>
              </w:rPr>
              <w:t>Parents restés au pays d'origine, biens immobiliers, visas, déplacements.</w:t>
            </w:r>
          </w:p>
        </w:tc>
        <w:tc>
          <w:tcPr>
            <w:tcW w:type="dxa" w:w="3628"/>
          </w:tcPr>
          <w:p>
            <w:pPr>
              <w:spacing w:after="40"/>
            </w:pPr>
            <w:r>
              <w:rPr>
                <w:b w:val="0"/>
                <w:sz w:val="19"/>
              </w:rPr>
              <w:t>Qu'est-ce que cette personne peut perdre hors du pays où elle travaille ?</w:t>
            </w:r>
          </w:p>
        </w:tc>
      </w:tr>
      <w:tr>
        <w:tc>
          <w:tcPr>
            <w:tcW w:type="dxa" w:w="1928"/>
            <w:shd w:val="clear" w:color="auto" w:fill="F2F2F2"/>
          </w:tcPr>
          <w:p>
            <w:pPr>
              <w:spacing w:after="40"/>
            </w:pPr>
            <w:r>
              <w:rPr>
                <w:b/>
                <w:sz w:val="19"/>
              </w:rPr>
              <w:t>Judiciaire et administratif</w:t>
            </w:r>
          </w:p>
        </w:tc>
        <w:tc>
          <w:tcPr>
            <w:tcW w:type="dxa" w:w="3742"/>
            <w:shd w:val="clear" w:color="auto" w:fill="F2F2F2"/>
          </w:tcPr>
          <w:p>
            <w:pPr>
              <w:spacing w:after="40"/>
            </w:pPr>
            <w:r>
              <w:rPr>
                <w:b w:val="0"/>
                <w:sz w:val="19"/>
              </w:rPr>
              <w:t>Procédures, licences, accréditations, statuts juridiques hostiles.</w:t>
            </w:r>
          </w:p>
        </w:tc>
        <w:tc>
          <w:tcPr>
            <w:tcW w:type="dxa" w:w="3628"/>
            <w:shd w:val="clear" w:color="auto" w:fill="F2F2F2"/>
          </w:tcPr>
          <w:p>
            <w:pPr>
              <w:spacing w:after="40"/>
            </w:pPr>
            <w:r>
              <w:rPr>
                <w:b w:val="0"/>
                <w:sz w:val="19"/>
              </w:rPr>
              <w:t>Quel outil administratif peut être activé contre lui, et par qui ?</w:t>
            </w:r>
          </w:p>
        </w:tc>
      </w:tr>
      <w:tr>
        <w:tc>
          <w:tcPr>
            <w:tcW w:type="dxa" w:w="1928"/>
          </w:tcPr>
          <w:p>
            <w:pPr>
              <w:spacing w:after="40"/>
            </w:pPr>
            <w:r>
              <w:rPr>
                <w:b/>
                <w:sz w:val="19"/>
              </w:rPr>
              <w:t>Sécurité physique</w:t>
            </w:r>
          </w:p>
        </w:tc>
        <w:tc>
          <w:tcPr>
            <w:tcW w:type="dxa" w:w="3742"/>
          </w:tcPr>
          <w:p>
            <w:pPr>
              <w:spacing w:after="40"/>
            </w:pPr>
            <w:r>
              <w:rPr>
                <w:b w:val="0"/>
                <w:sz w:val="19"/>
              </w:rPr>
              <w:t>Menaces, surveillance, agressions, intimidation de proches.</w:t>
            </w:r>
          </w:p>
        </w:tc>
        <w:tc>
          <w:tcPr>
            <w:tcW w:type="dxa" w:w="3628"/>
          </w:tcPr>
          <w:p>
            <w:pPr>
              <w:spacing w:after="40"/>
            </w:pPr>
            <w:r>
              <w:rPr>
                <w:b w:val="0"/>
                <w:sz w:val="19"/>
              </w:rPr>
              <w:t>Le risque est-il personnel ou seulement professionnel ?</w:t>
            </w:r>
          </w:p>
        </w:tc>
      </w:tr>
      <w:tr>
        <w:tc>
          <w:tcPr>
            <w:tcW w:type="dxa" w:w="1928"/>
            <w:shd w:val="clear" w:color="auto" w:fill="F2F2F2"/>
          </w:tcPr>
          <w:p>
            <w:pPr>
              <w:spacing w:after="40"/>
            </w:pPr>
            <w:r>
              <w:rPr>
                <w:b/>
                <w:sz w:val="19"/>
              </w:rPr>
              <w:t>Réputation et compromission</w:t>
            </w:r>
          </w:p>
        </w:tc>
        <w:tc>
          <w:tcPr>
            <w:tcW w:type="dxa" w:w="3742"/>
            <w:shd w:val="clear" w:color="auto" w:fill="F2F2F2"/>
          </w:tcPr>
          <w:p>
            <w:pPr>
              <w:spacing w:after="40"/>
            </w:pPr>
            <w:r>
              <w:rPr>
                <w:b w:val="0"/>
                <w:sz w:val="19"/>
              </w:rPr>
              <w:t>Dossiers anciens, dettes, éléments de vie privée.</w:t>
            </w:r>
          </w:p>
        </w:tc>
        <w:tc>
          <w:tcPr>
            <w:tcW w:type="dxa" w:w="3628"/>
            <w:shd w:val="clear" w:color="auto" w:fill="F2F2F2"/>
          </w:tcPr>
          <w:p>
            <w:pPr>
              <w:spacing w:after="40"/>
            </w:pPr>
            <w:r>
              <w:rPr>
                <w:b w:val="0"/>
                <w:sz w:val="19"/>
              </w:rPr>
              <w:t>Existe-t-il une prise ancienne, réactivable à tout moment ?</w:t>
            </w:r>
          </w:p>
        </w:tc>
      </w:tr>
    </w:tbl>
    <w:p>
      <w:pPr>
        <w:spacing w:after="40"/>
      </w:pPr>
    </w:p>
    <w:p>
      <w:pPr>
        <w:pStyle w:val="Heading2"/>
      </w:pPr>
      <w:r>
        <w:t>Passe 5 — Chercher la coordination, pas l'opinion</w:t>
      </w:r>
    </w:p>
    <w:p>
      <w:r>
        <w:rPr>
          <w:b w:val="0"/>
          <w:i w:val="0"/>
        </w:rPr>
        <w:t>C'est l'étape qui distingue un dispositif d'un courant d'opinion, et elle seule autorise à parler d'opération. Les indices utiles sont comportementaux et techniques, rarement éditoriaux.</w:t>
      </w:r>
    </w:p>
    <w:p>
      <w:pPr>
        <w:pStyle w:val="ListBullet"/>
      </w:pPr>
      <w:r>
        <w:t>Synchronies de publication : mêmes minutes, mêmes jours, sur des acteurs sans lien apparent.</w:t>
      </w:r>
    </w:p>
    <w:p>
      <w:pPr>
        <w:pStyle w:val="ListBullet"/>
      </w:pPr>
      <w:r>
        <w:t>Textes identiques à la traduction près, ou partageant les mêmes erreurs de traduction.</w:t>
      </w:r>
    </w:p>
    <w:p>
      <w:pPr>
        <w:pStyle w:val="ListBullet"/>
      </w:pPr>
      <w:r>
        <w:t>Dates d'enregistrement voisines pour des comptes ou des domaines censés être indépendants.</w:t>
      </w:r>
    </w:p>
    <w:p>
      <w:pPr>
        <w:pStyle w:val="ListBullet"/>
      </w:pPr>
      <w:r>
        <w:t>Infrastructure partagée : hébergeur, certificat, outil de mesure d'audience, régie.</w:t>
      </w:r>
    </w:p>
    <w:p>
      <w:pPr>
        <w:pStyle w:val="ListBullet"/>
      </w:pPr>
      <w:r>
        <w:t>Images recyclées d'un acteur à l'autre, avec les mêmes recadrages.</w:t>
      </w:r>
    </w:p>
    <w:p>
      <w:pPr>
        <w:pStyle w:val="ListBullet"/>
      </w:pPr>
      <w:r>
        <w:t>Chaînes de citation circulaires, où la source finale n'existe pas.</w:t>
      </w:r>
    </w:p>
    <w:p>
      <w:pPr>
        <w:pStyle w:val="ListBullet"/>
      </w:pPr>
      <w:r>
        <w:t>Comptes anciens et dormants réactivés simultanément.</w:t>
      </w:r>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Le seuil de qualification</w:t>
            </w:r>
          </w:p>
          <w:p>
            <w:pPr>
              <w:spacing w:after="40"/>
            </w:pPr>
            <w:r>
              <w:rPr>
                <w:sz w:val="20"/>
              </w:rPr>
              <w:t>Clandestinité ET coordination. Si l'un des deux manque, il faut redescendre d'un cran dans le vocabulaire : « acteur aligné », « amplificateur », « proximité éditoriale » — et non « opération » ou « agent ». Cette discipline de langage n'est pas de la prudence excessive : c'est ce qui rend un rapport utilisable par un décideur, et défendable s'il est contesté.</w:t>
            </w:r>
          </w:p>
        </w:tc>
      </w:tr>
    </w:tbl>
    <w:p>
      <w:pPr>
        <w:spacing w:after="40"/>
      </w:pPr>
    </w:p>
    <w:p>
      <w:pPr>
        <w:pStyle w:val="Heading2"/>
      </w:pPr>
      <w:r>
        <w:t>Après les cinq passes — les quatre statuts de relais</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DCE4F0"/>
          </w:tcPr>
          <w:p>
            <w:pPr>
              <w:spacing w:after="40"/>
            </w:pPr>
            <w:r>
              <w:rPr>
                <w:b/>
                <w:color w:val="1F3B63"/>
                <w:sz w:val="19"/>
              </w:rPr>
              <w:t>Statut</w:t>
            </w:r>
          </w:p>
        </w:tc>
        <w:tc>
          <w:tcPr>
            <w:tcW w:type="dxa" w:w="3855"/>
            <w:shd w:val="clear" w:color="auto" w:fill="DCE4F0"/>
          </w:tcPr>
          <w:p>
            <w:pPr>
              <w:spacing w:after="40"/>
            </w:pPr>
            <w:r>
              <w:rPr>
                <w:b/>
                <w:color w:val="1F3B63"/>
                <w:sz w:val="19"/>
              </w:rPr>
              <w:t>Ce qui le caractérise</w:t>
            </w:r>
          </w:p>
        </w:tc>
        <w:tc>
          <w:tcPr>
            <w:tcW w:type="dxa" w:w="3855"/>
            <w:shd w:val="clear" w:color="auto" w:fill="DCE4F0"/>
          </w:tcPr>
          <w:p>
            <w:pPr>
              <w:spacing w:after="40"/>
            </w:pPr>
            <w:r>
              <w:rPr>
                <w:b/>
                <w:color w:val="1F3B63"/>
                <w:sz w:val="19"/>
              </w:rPr>
              <w:t>Ce qu'on peut espérer démontrer</w:t>
            </w:r>
          </w:p>
        </w:tc>
      </w:tr>
      <w:tr>
        <w:tc>
          <w:tcPr>
            <w:tcW w:type="dxa" w:w="1587"/>
          </w:tcPr>
          <w:p>
            <w:pPr>
              <w:spacing w:after="40"/>
            </w:pPr>
            <w:r>
              <w:rPr>
                <w:b/>
                <w:sz w:val="19"/>
              </w:rPr>
              <w:t>Rémunéré</w:t>
            </w:r>
          </w:p>
        </w:tc>
        <w:tc>
          <w:tcPr>
            <w:tcW w:type="dxa" w:w="3855"/>
          </w:tcPr>
          <w:p>
            <w:pPr>
              <w:spacing w:after="40"/>
            </w:pPr>
            <w:r>
              <w:rPr>
                <w:b w:val="0"/>
                <w:sz w:val="19"/>
              </w:rPr>
              <w:t>Contrepartie financière ou matérielle, souvent via un intermédiaire ou une structure tierce.</w:t>
            </w:r>
          </w:p>
        </w:tc>
        <w:tc>
          <w:tcPr>
            <w:tcW w:type="dxa" w:w="3855"/>
          </w:tcPr>
          <w:p>
            <w:pPr>
              <w:spacing w:after="40"/>
            </w:pPr>
            <w:r>
              <w:rPr>
                <w:b w:val="0"/>
                <w:sz w:val="19"/>
              </w:rPr>
              <w:t>Flux financiers, contrats, déplacements, déclarations d'intérêts. Démontrable, mais rarement sans moyens d'enquête.</w:t>
            </w:r>
          </w:p>
        </w:tc>
      </w:tr>
      <w:tr>
        <w:tc>
          <w:tcPr>
            <w:tcW w:type="dxa" w:w="1587"/>
            <w:shd w:val="clear" w:color="auto" w:fill="F2F2F2"/>
          </w:tcPr>
          <w:p>
            <w:pPr>
              <w:spacing w:after="40"/>
            </w:pPr>
            <w:r>
              <w:rPr>
                <w:b/>
                <w:sz w:val="19"/>
              </w:rPr>
              <w:t>Idéologique</w:t>
            </w:r>
          </w:p>
        </w:tc>
        <w:tc>
          <w:tcPr>
            <w:tcW w:type="dxa" w:w="3855"/>
            <w:shd w:val="clear" w:color="auto" w:fill="F2F2F2"/>
          </w:tcPr>
          <w:p>
            <w:pPr>
              <w:spacing w:after="40"/>
            </w:pPr>
            <w:r>
              <w:rPr>
                <w:b w:val="0"/>
                <w:sz w:val="19"/>
              </w:rPr>
              <w:t>Conviction sincère, antérieure et cohérente sur la durée. Aucune contrepartie nécessaire.</w:t>
            </w:r>
          </w:p>
        </w:tc>
        <w:tc>
          <w:tcPr>
            <w:tcW w:type="dxa" w:w="3855"/>
            <w:shd w:val="clear" w:color="auto" w:fill="F2F2F2"/>
          </w:tcPr>
          <w:p>
            <w:pPr>
              <w:spacing w:after="40"/>
            </w:pPr>
            <w:r>
              <w:rPr>
                <w:b w:val="0"/>
                <w:sz w:val="19"/>
              </w:rPr>
              <w:t>Antériorité des positions. Un engagement ancien plaide pour la sincérité, pas pour la complicité.</w:t>
            </w:r>
          </w:p>
        </w:tc>
      </w:tr>
      <w:tr>
        <w:tc>
          <w:tcPr>
            <w:tcW w:type="dxa" w:w="1587"/>
          </w:tcPr>
          <w:p>
            <w:pPr>
              <w:spacing w:after="40"/>
            </w:pPr>
            <w:r>
              <w:rPr>
                <w:b/>
                <w:sz w:val="19"/>
              </w:rPr>
              <w:t>Opportuniste</w:t>
            </w:r>
          </w:p>
        </w:tc>
        <w:tc>
          <w:tcPr>
            <w:tcW w:type="dxa" w:w="3855"/>
          </w:tcPr>
          <w:p>
            <w:pPr>
              <w:spacing w:after="40"/>
            </w:pPr>
            <w:r>
              <w:rPr>
                <w:b w:val="0"/>
                <w:sz w:val="19"/>
              </w:rPr>
              <w:t>Exploite le sujet pour l'audience, la notoriété ou une position politique intérieure.</w:t>
            </w:r>
          </w:p>
        </w:tc>
        <w:tc>
          <w:tcPr>
            <w:tcW w:type="dxa" w:w="3855"/>
          </w:tcPr>
          <w:p>
            <w:pPr>
              <w:spacing w:after="40"/>
            </w:pPr>
            <w:r>
              <w:rPr>
                <w:b w:val="0"/>
                <w:sz w:val="19"/>
              </w:rPr>
              <w:t>Corrélation entre les prises de position et les bénéfices retirés.</w:t>
            </w:r>
          </w:p>
        </w:tc>
      </w:tr>
      <w:tr>
        <w:tc>
          <w:tcPr>
            <w:tcW w:type="dxa" w:w="1587"/>
            <w:shd w:val="clear" w:color="auto" w:fill="F2F2F2"/>
          </w:tcPr>
          <w:p>
            <w:pPr>
              <w:spacing w:after="40"/>
            </w:pPr>
            <w:r>
              <w:rPr>
                <w:b/>
                <w:sz w:val="19"/>
              </w:rPr>
              <w:t>Involontaire</w:t>
            </w:r>
          </w:p>
        </w:tc>
        <w:tc>
          <w:tcPr>
            <w:tcW w:type="dxa" w:w="3855"/>
            <w:shd w:val="clear" w:color="auto" w:fill="F2F2F2"/>
          </w:tcPr>
          <w:p>
            <w:pPr>
              <w:spacing w:after="40"/>
            </w:pPr>
            <w:r>
              <w:rPr>
                <w:b w:val="0"/>
                <w:sz w:val="19"/>
              </w:rPr>
              <w:t>Reprend de bonne foi un contenu blanchi, dont la chaîne est devenue invisible.</w:t>
            </w:r>
          </w:p>
        </w:tc>
        <w:tc>
          <w:tcPr>
            <w:tcW w:type="dxa" w:w="3855"/>
            <w:shd w:val="clear" w:color="auto" w:fill="F2F2F2"/>
          </w:tcPr>
          <w:p>
            <w:pPr>
              <w:spacing w:after="40"/>
            </w:pPr>
            <w:r>
              <w:rPr>
                <w:b w:val="0"/>
                <w:sz w:val="19"/>
              </w:rPr>
              <w:t>La chaîne elle-même. C'est le dispositif qu'on documente, pas la personne.</w:t>
            </w:r>
          </w:p>
        </w:tc>
      </w:tr>
    </w:tbl>
    <w:p>
      <w:pPr>
        <w:spacing w:after="40"/>
      </w:pPr>
    </w:p>
    <w:p>
      <w:r>
        <w:br w:type="page"/>
      </w:r>
    </w:p>
    <w:p>
      <w:pPr>
        <w:pStyle w:val="Heading1"/>
      </w:pPr>
      <w:r>
        <w:t>6. Trois terrains, trois logiques différentes</w:t>
      </w:r>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Statut de cette partie</w:t>
            </w:r>
          </w:p>
          <w:p>
            <w:pPr>
              <w:spacing w:after="40"/>
            </w:pPr>
            <w:r>
              <w:rPr>
                <w:sz w:val="20"/>
              </w:rPr>
              <w:t>Ce qui suit donne des points d'entrée structurels et des questions, pas un état des lieux. Les faits mentionnés sont stables et publics, mais doivent être revérifiés à la date de la recherche : les paysages médiatiques de cette région bougent vite, notamment sous l'effet des décisions de régulation et des déplacements d'audience.</w:t>
            </w:r>
          </w:p>
        </w:tc>
      </w:tr>
    </w:tbl>
    <w:p>
      <w:pPr>
        <w:spacing w:after="40"/>
      </w:pPr>
    </w:p>
    <w:p>
      <w:pPr>
        <w:pStyle w:val="Heading2"/>
      </w:pPr>
      <w:r>
        <w:t>6.1 Lituanie — un terrain dense et déjà outillé</w:t>
      </w:r>
    </w:p>
    <w:p>
      <w:r>
        <w:rPr>
          <w:b/>
          <w:i w:val="0"/>
        </w:rPr>
        <w:t xml:space="preserve">Ce qui structure le terrain. </w:t>
      </w:r>
      <w:r>
        <w:rPr>
          <w:b w:val="0"/>
          <w:i w:val="0"/>
        </w:rPr>
        <w:t>Frontières avec l'enclave de Kaliningrad et avec la Biélorussie ; le corridor de Suwałki comme point de fixation stratégique ; une présence alliée installée et visible ; une minorité russophone et une minorité polonaise anciennes ; une mémoire soviétique vive ; des contentieux de voisinage durables, dont la centrale nucléaire d'Astravets, côté biélorusse, à faible distance de Vilnius ; un transit ferroviaire et routier vers Kaliningrad devenu objet de tensions.</w:t>
      </w:r>
    </w:p>
    <w:p>
      <w:r>
        <w:rPr>
          <w:b/>
          <w:i w:val="0"/>
        </w:rPr>
        <w:t xml:space="preserve">Particularité médiatique. </w:t>
      </w:r>
      <w:r>
        <w:rPr>
          <w:b w:val="0"/>
          <w:i w:val="0"/>
        </w:rPr>
        <w:t>Après 2022, les chaînes russes ont été retirées de la diffusion par l'effet conjugué des sanctions européennes et des décisions du régulateur national. Cela ne fait pas disparaître l'audience : cela la déplace vers des canaux de contournement, messageries et vidéo, plus difficiles à observer et hors du champ de la régulation classique. C'est là que doit porter l'effort.</w:t>
      </w:r>
    </w:p>
    <w:p>
      <w:r>
        <w:rPr>
          <w:b/>
          <w:i w:val="0"/>
        </w:rPr>
        <w:t>À cartographier en priorité :</w:t>
      </w:r>
    </w:p>
    <w:p>
      <w:pPr>
        <w:pStyle w:val="ListBullet"/>
      </w:pPr>
      <w:r>
        <w:t>Qui informe aujourd'hui les russophones et les polonophones, et par quel canal exactement.</w:t>
      </w:r>
    </w:p>
    <w:p>
      <w:pPr>
        <w:pStyle w:val="ListBullet"/>
      </w:pPr>
      <w:r>
        <w:t>La propriété des titres régionaux, en particulier dans les zones frontalières et les villes à forte minorité.</w:t>
      </w:r>
    </w:p>
    <w:p>
      <w:pPr>
        <w:pStyle w:val="ListBullet"/>
      </w:pPr>
      <w:r>
        <w:t>Les sites d'apparence locale créés récemment, en lituanien comme en russe.</w:t>
      </w:r>
    </w:p>
    <w:p>
      <w:pPr>
        <w:pStyle w:val="ListBullet"/>
      </w:pPr>
      <w:r>
        <w:t>Les figures qui reviennent comme « experts » dans les débats sur la défense, l'énergie et la mémoire.</w:t>
      </w:r>
    </w:p>
    <w:p>
      <w:pPr>
        <w:pStyle w:val="ListBullet"/>
      </w:pPr>
      <w:r>
        <w:t>Les chaînes de messagerie locales, leur taille réelle et leurs administrateurs.</w:t>
      </w:r>
    </w:p>
    <w:p>
      <w:pPr>
        <w:pStyle w:val="ListBullet"/>
      </w:pPr>
      <w:r>
        <w:t>Les associations culturelles et les structures confessionnelles, et leurs financements.</w:t>
      </w:r>
    </w:p>
    <w:tbl>
      <w:tblPr>
        <w:tblStyle w:val="TableGrid"/>
        <w:tblW w:type="auto" w:w="0"/>
        <w:jc w:val="center"/>
        <w:tblLook w:firstColumn="1" w:firstRow="1" w:lastColumn="0" w:lastRow="0" w:noHBand="0" w:noVBand="1" w:val="04A0"/>
      </w:tblPr>
      <w:tblGrid>
        <w:gridCol w:w="9746"/>
      </w:tblGrid>
      <w:tr>
        <w:tc>
          <w:tcPr>
            <w:tcW w:type="dxa" w:w="9746"/>
            <w:shd w:val="clear" w:color="auto" w:fill="F7E7E7"/>
          </w:tcPr>
          <w:p>
            <w:r/>
            <w:r>
              <w:rPr>
                <w:b/>
                <w:color w:val="1F3B63"/>
                <w:sz w:val="21"/>
              </w:rPr>
              <w:t>Précaution centrale sur ce terrain</w:t>
            </w:r>
          </w:p>
          <w:p>
            <w:pPr>
              <w:spacing w:after="40"/>
            </w:pPr>
            <w:r>
              <w:rPr>
                <w:sz w:val="20"/>
              </w:rPr>
              <w:t>Une minorité linguistique n'est pas un relais. Traiter la population russophone comme un vecteur d'influence est à la fois une erreur d'analyse et exactement l'effet recherché par l'adversaire : la fracture qu'il exploite est renforcée par le soupçon qu'on fait peser sur elle. La cible d'une opération et son relais sont deux choses distinctes, à ne jamais confondre dans un rapport.</w:t>
            </w:r>
          </w:p>
        </w:tc>
      </w:tr>
    </w:tbl>
    <w:p>
      <w:pPr>
        <w:spacing w:after="40"/>
      </w:pPr>
    </w:p>
    <w:p>
      <w:r>
        <w:rPr>
          <w:b/>
          <w:i w:val="0"/>
        </w:rPr>
        <w:t xml:space="preserve">Ressources locales existantes. </w:t>
      </w:r>
      <w:r>
        <w:rPr>
          <w:b w:val="0"/>
          <w:i w:val="0"/>
        </w:rPr>
        <w:t>La Lituanie dispose d'un écosystème de veille inhabituellement développé : un centre d'analyse privé spécialisé dans la détection des campagnes, un mouvement de volontaires ancien et structuré, un centre d'excellence de l'OTAN consacré à la communication stratégique dans la capitale lettone voisine. Ces acteurs publient. Commencez par lire ce qu'ils ont déjà établi avant de reconstruire une cartographie à partir de rien.</w:t>
      </w:r>
    </w:p>
    <w:p>
      <w:pPr>
        <w:pStyle w:val="Heading2"/>
      </w:pPr>
      <w:r>
        <w:t>6.2 Pologne — un terrain de volume et de polarisation</w:t>
      </w:r>
    </w:p>
    <w:p>
      <w:r>
        <w:rPr>
          <w:b/>
          <w:i w:val="0"/>
        </w:rPr>
        <w:t xml:space="preserve">Ce qui structure le terrain. </w:t>
      </w:r>
      <w:r>
        <w:rPr>
          <w:b w:val="0"/>
          <w:i w:val="0"/>
        </w:rPr>
        <w:t>Pays de transit logistique majeur ; frontières avec la Biélorussie et avec Kaliningrad ; diasporas ukrainienne et biélorusse nombreuses ; polarisation politique intérieure forte et ancienne ; tensions agricoles et de transport routier liées aux échanges avec l'Ukraine ; actes de sabotage et incendies publiquement attribués par les autorités polonaises à des commanditaires étrangers.</w:t>
      </w:r>
    </w:p>
    <w:p>
      <w:r>
        <w:rPr>
          <w:b/>
          <w:i w:val="0"/>
        </w:rPr>
        <w:t>À cartographier en priorité :</w:t>
      </w:r>
    </w:p>
    <w:p>
      <w:pPr>
        <w:pStyle w:val="ListBullet"/>
      </w:pPr>
      <w:r>
        <w:t>Les écosystèmes en ligne partisans, des deux bords : la polarisation intérieure est le vecteur, pas l'adhésion à Moscou.</w:t>
      </w:r>
    </w:p>
    <w:p>
      <w:pPr>
        <w:pStyle w:val="ListBullet"/>
      </w:pPr>
      <w:r>
        <w:t>Les contenus anti-ukrainiens portés par des acteurs économiques réels (agriculteurs, transporteurs), où le grief est authentique et la récupération possible.</w:t>
      </w:r>
    </w:p>
    <w:p>
      <w:pPr>
        <w:pStyle w:val="ListBullet"/>
      </w:pPr>
      <w:r>
        <w:t>Les variantes de domaines des grands titres nationaux et les campagnes publicitaires qui les poussent.</w:t>
      </w:r>
    </w:p>
    <w:p>
      <w:pPr>
        <w:pStyle w:val="ListBullet"/>
      </w:pPr>
      <w:r>
        <w:t>Les chaînes de messagerie polonophones à forte audience et leurs administrateurs.</w:t>
      </w:r>
    </w:p>
    <w:p>
      <w:pPr>
        <w:pStyle w:val="ListBullet"/>
      </w:pPr>
      <w:r>
        <w:t>Les relais confessionnels et les médias associés, dont l'audience est sous-estimée dans les analyses étrangères.</w:t>
      </w:r>
    </w:p>
    <w:p>
      <w:pPr>
        <w:pStyle w:val="ListBullet"/>
      </w:pPr>
      <w:r>
        <w:t>Les diasporas biélorusse et russe, comme cibles et non comme suspects.</w:t>
      </w:r>
    </w:p>
    <w:p>
      <w:r>
        <w:rPr>
          <w:b/>
          <w:i w:val="0"/>
        </w:rPr>
        <w:t xml:space="preserve">Différence de nature avec la Lituanie. </w:t>
      </w:r>
      <w:r>
        <w:rPr>
          <w:b w:val="0"/>
          <w:i w:val="0"/>
        </w:rPr>
        <w:t>En Pologne, l'influence extérieure ne crée pas le clivage : elle s'insère dans un clivage intérieur déjà très structuré et très mobilisé. Le travail utile consiste donc moins à trouver des acteurs importés qu'à repérer les points d'insertion dans des conflits authentiquement nationaux. C'est plus difficile et plus exposé politiquement.</w:t>
      </w:r>
    </w:p>
    <w:p>
      <w:pPr>
        <w:pStyle w:val="Heading2"/>
      </w:pPr>
      <w:r>
        <w:t>6.3 Biélorussie — un terrain inversé</w:t>
      </w:r>
    </w:p>
    <w:p>
      <w:r>
        <w:rPr>
          <w:b/>
          <w:i w:val="0"/>
        </w:rPr>
        <w:t xml:space="preserve">Ce qui change tout. </w:t>
      </w:r>
      <w:r>
        <w:rPr>
          <w:b w:val="0"/>
          <w:i w:val="0"/>
        </w:rPr>
        <w:t>L'espace médiatique intérieur est contrôlé par l'État et étroitement articulé à l'appareil médiatique russe. La question « qui relaie Moscou ? » n'a donc pas de valeur discriminante : l'appareil entier le fait, ouvertement. Les questions utiles sont autres.</w:t>
      </w:r>
    </w:p>
    <w:p>
      <w:r>
        <w:rPr>
          <w:b/>
          <w:i w:val="0"/>
        </w:rPr>
        <w:t>Questions d'entrée pertinentes :</w:t>
      </w:r>
    </w:p>
    <w:p>
      <w:pPr>
        <w:pStyle w:val="ListBullet"/>
      </w:pPr>
      <w:r>
        <w:t>Quel est le degré réel d'intégration de l'appareil médiatique biélorusse au dispositif russe : contenus partagés, personnels, moyens techniques, formation ?</w:t>
      </w:r>
    </w:p>
    <w:p>
      <w:pPr>
        <w:pStyle w:val="ListBullet"/>
      </w:pPr>
      <w:r>
        <w:t>Où subsistent des marges : médias professionnels non politiques, presse spécialisée, échelons locaux ?</w:t>
      </w:r>
    </w:p>
    <w:p>
      <w:pPr>
        <w:pStyle w:val="ListBullet"/>
      </w:pPr>
      <w:r>
        <w:t>Quelle est l'audience réelle des médias en exil, depuis l'étranger et à l'intérieur, sachant que plusieurs ont été désignés comme formations extrémistes, ce qui fait de leur simple consultation un risque pénal ?</w:t>
      </w:r>
    </w:p>
    <w:p>
      <w:pPr>
        <w:pStyle w:val="ListBullet"/>
      </w:pPr>
      <w:r>
        <w:t>Quels contenus sont produits depuis la Biélorussie à destination des publics lituanien et polonais, en particulier autour de la frontière et des flux migratoires instrumentalisés ?</w:t>
      </w:r>
    </w:p>
    <w:p>
      <w:pPr>
        <w:pStyle w:val="ListBullet"/>
      </w:pPr>
      <w:r>
        <w:t>Quel rôle jouent les messageries, qui constituent de fait le média principal, pour le pouvoir comme pour l'opposition ?</w:t>
      </w:r>
    </w:p>
    <w:tbl>
      <w:tblPr>
        <w:tblStyle w:val="TableGrid"/>
        <w:tblW w:type="auto" w:w="0"/>
        <w:jc w:val="center"/>
        <w:tblLook w:firstColumn="1" w:firstRow="1" w:lastColumn="0" w:lastRow="0" w:noHBand="0" w:noVBand="1" w:val="04A0"/>
      </w:tblPr>
      <w:tblGrid>
        <w:gridCol w:w="9746"/>
      </w:tblGrid>
      <w:tr>
        <w:tc>
          <w:tcPr>
            <w:tcW w:type="dxa" w:w="9746"/>
            <w:shd w:val="clear" w:color="auto" w:fill="F7E7E7"/>
          </w:tcPr>
          <w:p>
            <w:r/>
            <w:r>
              <w:rPr>
                <w:b/>
                <w:color w:val="1F3B63"/>
                <w:sz w:val="21"/>
              </w:rPr>
              <w:t>Précaution de sécurité, impérative</w:t>
            </w:r>
          </w:p>
          <w:p>
            <w:pPr>
              <w:spacing w:after="40"/>
            </w:pPr>
            <w:r>
              <w:rPr>
                <w:sz w:val="20"/>
              </w:rPr>
              <w:t>Toute recherche sur des personnes situées en Biélorussie peut les exposer à des poursuites. Ne publiez aucun élément permettant d'identifier une source locale, un contact ou un lecteur. Traitez les listes nominatives avec la même rigueur que des données personnelles sensibles, y compris dans les documents de travail intermédiaires.</w:t>
            </w:r>
          </w:p>
        </w:tc>
      </w:tr>
    </w:tbl>
    <w:p>
      <w:pPr>
        <w:spacing w:after="40"/>
      </w:pPr>
    </w:p>
    <w:p>
      <w:r>
        <w:br w:type="page"/>
      </w:r>
    </w:p>
    <w:p>
      <w:pPr>
        <w:pStyle w:val="Heading1"/>
      </w:pPr>
      <w:r>
        <w:t>7. Les pièges qui coûtent le plus cher</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DCE4F0"/>
          </w:tcPr>
          <w:p>
            <w:pPr>
              <w:spacing w:after="40"/>
            </w:pPr>
            <w:r>
              <w:rPr>
                <w:b/>
                <w:color w:val="1F3B63"/>
                <w:sz w:val="19"/>
              </w:rPr>
              <w:t>Piège</w:t>
            </w:r>
          </w:p>
        </w:tc>
        <w:tc>
          <w:tcPr>
            <w:tcW w:type="dxa" w:w="3742"/>
            <w:shd w:val="clear" w:color="auto" w:fill="DCE4F0"/>
          </w:tcPr>
          <w:p>
            <w:pPr>
              <w:spacing w:after="40"/>
            </w:pPr>
            <w:r>
              <w:rPr>
                <w:b/>
                <w:color w:val="1F3B63"/>
                <w:sz w:val="19"/>
              </w:rPr>
              <w:t>Ce qui se passe</w:t>
            </w:r>
          </w:p>
        </w:tc>
        <w:tc>
          <w:tcPr>
            <w:tcW w:type="dxa" w:w="3742"/>
            <w:shd w:val="clear" w:color="auto" w:fill="DCE4F0"/>
          </w:tcPr>
          <w:p>
            <w:pPr>
              <w:spacing w:after="40"/>
            </w:pPr>
            <w:r>
              <w:rPr>
                <w:b/>
                <w:color w:val="1F3B63"/>
                <w:sz w:val="19"/>
              </w:rPr>
              <w:t>Parade</w:t>
            </w:r>
          </w:p>
        </w:tc>
      </w:tr>
      <w:tr>
        <w:tc>
          <w:tcPr>
            <w:tcW w:type="dxa" w:w="1814"/>
          </w:tcPr>
          <w:p>
            <w:pPr>
              <w:spacing w:after="40"/>
            </w:pPr>
            <w:r>
              <w:rPr>
                <w:b/>
                <w:sz w:val="19"/>
              </w:rPr>
              <w:t>Attribution hâtive</w:t>
            </w:r>
          </w:p>
        </w:tc>
        <w:tc>
          <w:tcPr>
            <w:tcW w:type="dxa" w:w="3742"/>
          </w:tcPr>
          <w:p>
            <w:pPr>
              <w:spacing w:after="40"/>
            </w:pPr>
            <w:r>
              <w:rPr>
                <w:b w:val="0"/>
                <w:sz w:val="19"/>
              </w:rPr>
              <w:t>Un alignement de positions est pris pour un lien organique.</w:t>
            </w:r>
          </w:p>
        </w:tc>
        <w:tc>
          <w:tcPr>
            <w:tcW w:type="dxa" w:w="3742"/>
          </w:tcPr>
          <w:p>
            <w:pPr>
              <w:spacing w:after="40"/>
            </w:pPr>
            <w:r>
              <w:rPr>
                <w:b w:val="0"/>
                <w:sz w:val="19"/>
              </w:rPr>
              <w:t>Exiger clandestinité et coordination avant d'employer le mot « opération ».</w:t>
            </w:r>
          </w:p>
        </w:tc>
      </w:tr>
      <w:tr>
        <w:tc>
          <w:tcPr>
            <w:tcW w:type="dxa" w:w="1814"/>
            <w:shd w:val="clear" w:color="auto" w:fill="F2F2F2"/>
          </w:tcPr>
          <w:p>
            <w:pPr>
              <w:spacing w:after="40"/>
            </w:pPr>
            <w:r>
              <w:rPr>
                <w:b/>
                <w:sz w:val="19"/>
              </w:rPr>
              <w:t>Effet de liste</w:t>
            </w:r>
          </w:p>
        </w:tc>
        <w:tc>
          <w:tcPr>
            <w:tcW w:type="dxa" w:w="3742"/>
            <w:shd w:val="clear" w:color="auto" w:fill="F2F2F2"/>
          </w:tcPr>
          <w:p>
            <w:pPr>
              <w:spacing w:after="40"/>
            </w:pPr>
            <w:r>
              <w:rPr>
                <w:b w:val="0"/>
                <w:sz w:val="19"/>
              </w:rPr>
              <w:t>Figurer dans une liste d'acteurs suspects devient une preuve par simple répétition.</w:t>
            </w:r>
          </w:p>
        </w:tc>
        <w:tc>
          <w:tcPr>
            <w:tcW w:type="dxa" w:w="3742"/>
            <w:shd w:val="clear" w:color="auto" w:fill="F2F2F2"/>
          </w:tcPr>
          <w:p>
            <w:pPr>
              <w:spacing w:after="40"/>
            </w:pPr>
            <w:r>
              <w:rPr>
                <w:b w:val="0"/>
                <w:sz w:val="19"/>
              </w:rPr>
              <w:t>Reconstituer la source primaire de chaque mention. Beaucoup de listes se citent entre elles.</w:t>
            </w:r>
          </w:p>
        </w:tc>
      </w:tr>
      <w:tr>
        <w:tc>
          <w:tcPr>
            <w:tcW w:type="dxa" w:w="1814"/>
          </w:tcPr>
          <w:p>
            <w:pPr>
              <w:spacing w:after="40"/>
            </w:pPr>
            <w:r>
              <w:rPr>
                <w:b/>
                <w:sz w:val="19"/>
              </w:rPr>
              <w:t>Dividende du menteur</w:t>
            </w:r>
          </w:p>
        </w:tc>
        <w:tc>
          <w:tcPr>
            <w:tcW w:type="dxa" w:w="3742"/>
          </w:tcPr>
          <w:p>
            <w:pPr>
              <w:spacing w:after="40"/>
            </w:pPr>
            <w:r>
              <w:rPr>
                <w:b w:val="0"/>
                <w:sz w:val="19"/>
              </w:rPr>
              <w:t>Tout contenu gênant est écarté comme truqué, y compris l'authentique.</w:t>
            </w:r>
          </w:p>
        </w:tc>
        <w:tc>
          <w:tcPr>
            <w:tcW w:type="dxa" w:w="3742"/>
          </w:tcPr>
          <w:p>
            <w:pPr>
              <w:spacing w:after="40"/>
            </w:pPr>
            <w:r>
              <w:rPr>
                <w:b w:val="0"/>
                <w:sz w:val="19"/>
              </w:rPr>
              <w:t>Documenter la provenance plutôt que la véracité, et le dire explicitement.</w:t>
            </w:r>
          </w:p>
        </w:tc>
      </w:tr>
      <w:tr>
        <w:tc>
          <w:tcPr>
            <w:tcW w:type="dxa" w:w="1814"/>
            <w:shd w:val="clear" w:color="auto" w:fill="F2F2F2"/>
          </w:tcPr>
          <w:p>
            <w:pPr>
              <w:spacing w:after="40"/>
            </w:pPr>
            <w:r>
              <w:rPr>
                <w:b/>
                <w:sz w:val="19"/>
              </w:rPr>
              <w:t>Audience confondue avec influence</w:t>
            </w:r>
          </w:p>
        </w:tc>
        <w:tc>
          <w:tcPr>
            <w:tcW w:type="dxa" w:w="3742"/>
            <w:shd w:val="clear" w:color="auto" w:fill="F2F2F2"/>
          </w:tcPr>
          <w:p>
            <w:pPr>
              <w:spacing w:after="40"/>
            </w:pPr>
            <w:r>
              <w:rPr>
                <w:b w:val="0"/>
                <w:sz w:val="19"/>
              </w:rPr>
              <w:t>Un compte très suivi est réputé influent ; un petit canal ciblé est négligé.</w:t>
            </w:r>
          </w:p>
        </w:tc>
        <w:tc>
          <w:tcPr>
            <w:tcW w:type="dxa" w:w="3742"/>
            <w:shd w:val="clear" w:color="auto" w:fill="F2F2F2"/>
          </w:tcPr>
          <w:p>
            <w:pPr>
              <w:spacing w:after="40"/>
            </w:pPr>
            <w:r>
              <w:rPr>
                <w:b w:val="0"/>
                <w:sz w:val="19"/>
              </w:rPr>
              <w:t>Mesurer l'effet sur une communauté précise, pas le nombre d'abonnés.</w:t>
            </w:r>
          </w:p>
        </w:tc>
      </w:tr>
      <w:tr>
        <w:tc>
          <w:tcPr>
            <w:tcW w:type="dxa" w:w="1814"/>
          </w:tcPr>
          <w:p>
            <w:pPr>
              <w:spacing w:after="40"/>
            </w:pPr>
            <w:r>
              <w:rPr>
                <w:b/>
                <w:sz w:val="19"/>
              </w:rPr>
              <w:t>Critique confondue avec relais</w:t>
            </w:r>
          </w:p>
        </w:tc>
        <w:tc>
          <w:tcPr>
            <w:tcW w:type="dxa" w:w="3742"/>
          </w:tcPr>
          <w:p>
            <w:pPr>
              <w:spacing w:after="40"/>
            </w:pPr>
            <w:r>
              <w:rPr>
                <w:b w:val="0"/>
                <w:sz w:val="19"/>
              </w:rPr>
              <w:t>Un journaliste critique de son gouvernement est classé comme relais étranger.</w:t>
            </w:r>
          </w:p>
        </w:tc>
        <w:tc>
          <w:tcPr>
            <w:tcW w:type="dxa" w:w="3742"/>
          </w:tcPr>
          <w:p>
            <w:pPr>
              <w:spacing w:after="40"/>
            </w:pPr>
            <w:r>
              <w:rPr>
                <w:b w:val="0"/>
                <w:sz w:val="19"/>
              </w:rPr>
              <w:t>La critique interne est le fonctionnement normal d'une démocratie. Chercher la chaîne, pas la position.</w:t>
            </w:r>
          </w:p>
        </w:tc>
      </w:tr>
      <w:tr>
        <w:tc>
          <w:tcPr>
            <w:tcW w:type="dxa" w:w="1814"/>
            <w:shd w:val="clear" w:color="auto" w:fill="F2F2F2"/>
          </w:tcPr>
          <w:p>
            <w:pPr>
              <w:spacing w:after="40"/>
            </w:pPr>
            <w:r>
              <w:rPr>
                <w:b/>
                <w:sz w:val="19"/>
              </w:rPr>
              <w:t>Effet miroir</w:t>
            </w:r>
          </w:p>
        </w:tc>
        <w:tc>
          <w:tcPr>
            <w:tcW w:type="dxa" w:w="3742"/>
            <w:shd w:val="clear" w:color="auto" w:fill="F2F2F2"/>
          </w:tcPr>
          <w:p>
            <w:pPr>
              <w:spacing w:after="40"/>
            </w:pPr>
            <w:r>
              <w:rPr>
                <w:b w:val="0"/>
                <w:sz w:val="19"/>
              </w:rPr>
              <w:t>On trouve ce qu'on est venu chercher, la grille produisant ses propres confirmations.</w:t>
            </w:r>
          </w:p>
        </w:tc>
        <w:tc>
          <w:tcPr>
            <w:tcW w:type="dxa" w:w="3742"/>
            <w:shd w:val="clear" w:color="auto" w:fill="F2F2F2"/>
          </w:tcPr>
          <w:p>
            <w:pPr>
              <w:spacing w:after="40"/>
            </w:pPr>
            <w:r>
              <w:rPr>
                <w:b w:val="0"/>
                <w:sz w:val="19"/>
              </w:rPr>
              <w:t>Formuler par écrit ce qui invaliderait l'hypothèse, avant de collecter.</w:t>
            </w:r>
          </w:p>
        </w:tc>
      </w:tr>
      <w:tr>
        <w:tc>
          <w:tcPr>
            <w:tcW w:type="dxa" w:w="1814"/>
          </w:tcPr>
          <w:p>
            <w:pPr>
              <w:spacing w:after="40"/>
            </w:pPr>
            <w:r>
              <w:rPr>
                <w:b/>
                <w:sz w:val="19"/>
              </w:rPr>
              <w:t>Obsession du contenu</w:t>
            </w:r>
          </w:p>
        </w:tc>
        <w:tc>
          <w:tcPr>
            <w:tcW w:type="dxa" w:w="3742"/>
          </w:tcPr>
          <w:p>
            <w:pPr>
              <w:spacing w:after="40"/>
            </w:pPr>
            <w:r>
              <w:rPr>
                <w:b w:val="0"/>
                <w:sz w:val="19"/>
              </w:rPr>
              <w:t>L'analyse se perd dans les textes alors que la preuve est ailleurs.</w:t>
            </w:r>
          </w:p>
        </w:tc>
        <w:tc>
          <w:tcPr>
            <w:tcW w:type="dxa" w:w="3742"/>
          </w:tcPr>
          <w:p>
            <w:pPr>
              <w:spacing w:after="40"/>
            </w:pPr>
            <w:r>
              <w:rPr>
                <w:b w:val="0"/>
                <w:sz w:val="19"/>
              </w:rPr>
              <w:t>Remonter l'argent, l'infrastructure et la propriété. C'est moins spectaculaire et bien plus solide.</w:t>
            </w:r>
          </w:p>
        </w:tc>
      </w:tr>
      <w:tr>
        <w:tc>
          <w:tcPr>
            <w:tcW w:type="dxa" w:w="1814"/>
            <w:shd w:val="clear" w:color="auto" w:fill="F2F2F2"/>
          </w:tcPr>
          <w:p>
            <w:pPr>
              <w:spacing w:after="40"/>
            </w:pPr>
            <w:r>
              <w:rPr>
                <w:b/>
                <w:sz w:val="19"/>
              </w:rPr>
              <w:t>Exposition de personnes</w:t>
            </w:r>
          </w:p>
        </w:tc>
        <w:tc>
          <w:tcPr>
            <w:tcW w:type="dxa" w:w="3742"/>
            <w:shd w:val="clear" w:color="auto" w:fill="F2F2F2"/>
          </w:tcPr>
          <w:p>
            <w:pPr>
              <w:spacing w:after="40"/>
            </w:pPr>
            <w:r>
              <w:rPr>
                <w:b w:val="0"/>
                <w:sz w:val="19"/>
              </w:rPr>
              <w:t>Un document de travail circule et met en danger des individus nommés.</w:t>
            </w:r>
          </w:p>
        </w:tc>
        <w:tc>
          <w:tcPr>
            <w:tcW w:type="dxa" w:w="3742"/>
            <w:shd w:val="clear" w:color="auto" w:fill="F2F2F2"/>
          </w:tcPr>
          <w:p>
            <w:pPr>
              <w:spacing w:after="40"/>
            </w:pPr>
            <w:r>
              <w:rPr>
                <w:b w:val="0"/>
                <w:sz w:val="19"/>
              </w:rPr>
              <w:t>Écrire chaque fiche en supposant qu'elle sera lue par la personne concernée et par son adversaire.</w:t>
            </w:r>
          </w:p>
        </w:tc>
      </w:tr>
    </w:tbl>
    <w:p>
      <w:pPr>
        <w:spacing w:after="40"/>
      </w:pPr>
    </w:p>
    <w:p>
      <w:pPr>
        <w:pStyle w:val="Heading1"/>
      </w:pPr>
      <w:r>
        <w:t>8. Où trouver de la matière exploitable</w:t>
      </w:r>
    </w:p>
    <w:p>
      <w:pPr>
        <w:pStyle w:val="ListBullet"/>
      </w:pPr>
      <w:r>
        <w:rPr>
          <w:b/>
        </w:rPr>
        <w:t xml:space="preserve">Publications publiques de VIGINUM (SGDSN, France) — </w:t>
      </w:r>
      <w:r>
        <w:t>rapports techniques en diffusion libre sur les modes opératoires informationnels ; c'est la source la plus directement réutilisable, méthode comprise.</w:t>
      </w:r>
    </w:p>
    <w:p>
      <w:pPr>
        <w:pStyle w:val="ListBullet"/>
      </w:pPr>
      <w:r>
        <w:rPr>
          <w:b/>
        </w:rPr>
        <w:t xml:space="preserve">EUvsDisinfo (Service européen pour l'action extérieure) — </w:t>
      </w:r>
      <w:r>
        <w:t>base de cas et suivi des narratifs, utile pour la profondeur historique.</w:t>
      </w:r>
    </w:p>
    <w:p>
      <w:pPr>
        <w:pStyle w:val="ListBullet"/>
      </w:pPr>
      <w:r>
        <w:rPr>
          <w:b/>
        </w:rPr>
        <w:t xml:space="preserve">Centre d'excellence de l'OTAN pour la communication stratégique, à Riga — </w:t>
      </w:r>
      <w:r>
        <w:t>travaux régionaux, dont plusieurs consacrés aux pays baltes.</w:t>
      </w:r>
    </w:p>
    <w:p>
      <w:pPr>
        <w:pStyle w:val="ListBullet"/>
      </w:pPr>
      <w:r>
        <w:rPr>
          <w:b/>
        </w:rPr>
        <w:t xml:space="preserve">Rapports de transparence des plateformes au titre du règlement européen sur les services numériques — </w:t>
      </w:r>
      <w:r>
        <w:t>données sur la publicité, les retraits et les comptes suspendus.</w:t>
      </w:r>
    </w:p>
    <w:p>
      <w:pPr>
        <w:pStyle w:val="ListBullet"/>
      </w:pPr>
      <w:r>
        <w:rPr>
          <w:b/>
        </w:rPr>
        <w:t xml:space="preserve">Registres nationaux des entreprises et des médias — </w:t>
      </w:r>
      <w:r>
        <w:t>la propriété réelle est le socle de toute cartographie sérieuse.</w:t>
      </w:r>
    </w:p>
    <w:p>
      <w:pPr>
        <w:pStyle w:val="ListBullet"/>
      </w:pPr>
      <w:r>
        <w:rPr>
          <w:b/>
        </w:rPr>
        <w:t xml:space="preserve">Outils d'archivage du web et d'historique des noms de domaine — </w:t>
      </w:r>
      <w:r>
        <w:t>les dates d'enregistrement et les versions antérieures d'un site racontent souvent l'essentiel.</w:t>
      </w:r>
    </w:p>
    <w:p>
      <w:pPr>
        <w:pStyle w:val="ListBullet"/>
      </w:pPr>
      <w:r>
        <w:rPr>
          <w:b/>
        </w:rPr>
        <w:t xml:space="preserve">Organisations locales de vérification et de veille — </w:t>
      </w:r>
      <w:r>
        <w:t>en Lituanie en particulier, l'antériorité de leurs travaux fera gagner des semaines.</w:t>
      </w:r>
    </w:p>
    <w:p>
      <w:pPr>
        <w:pStyle w:val="ListBullet"/>
      </w:pPr>
      <w:r>
        <w:rPr>
          <w:b/>
        </w:rPr>
        <w:t xml:space="preserve">Littérature académique et institutionnelle — </w:t>
      </w:r>
      <w:r>
        <w:t>sur le contrôle réflexif, héritage soviétique, et sur la saturation informationnelle comme modèle, notamment les travaux publiés par la RAND Corporation.</w:t>
      </w:r>
    </w:p>
    <w:p>
      <w:r>
        <w:br w:type="page"/>
      </w:r>
    </w:p>
    <w:p>
      <w:pPr>
        <w:pStyle w:val="Heading1"/>
      </w:pPr>
      <w:r>
        <w:t>Annexe A — Fiche acteur à remplir</w:t>
      </w:r>
    </w:p>
    <w:p>
      <w:r>
        <w:rPr>
          <w:b w:val="0"/>
          <w:i w:val="0"/>
        </w:rPr>
        <w:t>Une fiche par acteur, remplie de la même manière pour tous. L'uniformité est ce qui permettra, ensuite, de comparer et de voir les régularités. Les champs laissés vides sont des informations, pas des lacunes : notez « non établi » plutôt que de laisser blanc.</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DCE4F0"/>
          </w:tcPr>
          <w:p>
            <w:pPr>
              <w:spacing w:after="40"/>
            </w:pPr>
            <w:r>
              <w:rPr>
                <w:b/>
                <w:color w:val="1F3B63"/>
                <w:sz w:val="19"/>
              </w:rPr>
              <w:t>Champ</w:t>
            </w:r>
          </w:p>
        </w:tc>
        <w:tc>
          <w:tcPr>
            <w:tcW w:type="dxa" w:w="6917"/>
            <w:shd w:val="clear" w:color="auto" w:fill="DCE4F0"/>
          </w:tcPr>
          <w:p>
            <w:pPr>
              <w:spacing w:after="40"/>
            </w:pPr>
            <w:r>
              <w:rPr>
                <w:b/>
                <w:color w:val="1F3B63"/>
                <w:sz w:val="19"/>
              </w:rPr>
              <w:t>Contenu attendu</w:t>
            </w:r>
          </w:p>
        </w:tc>
      </w:tr>
      <w:tr>
        <w:tc>
          <w:tcPr>
            <w:tcW w:type="dxa" w:w="2381"/>
          </w:tcPr>
          <w:p>
            <w:pPr>
              <w:spacing w:after="40"/>
            </w:pPr>
            <w:r>
              <w:rPr>
                <w:b/>
                <w:sz w:val="19"/>
              </w:rPr>
              <w:t>Identification</w:t>
            </w:r>
          </w:p>
        </w:tc>
        <w:tc>
          <w:tcPr>
            <w:tcW w:type="dxa" w:w="6917"/>
          </w:tcPr>
          <w:p>
            <w:pPr>
              <w:spacing w:after="40"/>
            </w:pPr>
            <w:r>
              <w:rPr>
                <w:b w:val="0"/>
                <w:sz w:val="19"/>
              </w:rPr>
              <w:t>Nom, type (titre, chaîne, personne, structure), langue, pays d'établissement.</w:t>
            </w:r>
          </w:p>
        </w:tc>
      </w:tr>
      <w:tr>
        <w:tc>
          <w:tcPr>
            <w:tcW w:type="dxa" w:w="2381"/>
            <w:shd w:val="clear" w:color="auto" w:fill="F2F2F2"/>
          </w:tcPr>
          <w:p>
            <w:pPr>
              <w:spacing w:after="40"/>
            </w:pPr>
            <w:r>
              <w:rPr>
                <w:b/>
                <w:sz w:val="19"/>
              </w:rPr>
              <w:t>Audience</w:t>
            </w:r>
          </w:p>
        </w:tc>
        <w:tc>
          <w:tcPr>
            <w:tcW w:type="dxa" w:w="6917"/>
            <w:shd w:val="clear" w:color="auto" w:fill="F2F2F2"/>
          </w:tcPr>
          <w:p>
            <w:pPr>
              <w:spacing w:after="40"/>
            </w:pPr>
            <w:r>
              <w:rPr>
                <w:b w:val="0"/>
                <w:sz w:val="19"/>
              </w:rPr>
              <w:t>Volume, mais surtout composition : quelle communauté, quelle tranche d'âge, quelle zone.</w:t>
            </w:r>
          </w:p>
        </w:tc>
      </w:tr>
      <w:tr>
        <w:tc>
          <w:tcPr>
            <w:tcW w:type="dxa" w:w="2381"/>
          </w:tcPr>
          <w:p>
            <w:pPr>
              <w:spacing w:after="40"/>
            </w:pPr>
            <w:r>
              <w:rPr>
                <w:b/>
                <w:sz w:val="19"/>
              </w:rPr>
              <w:t>Propriété</w:t>
            </w:r>
          </w:p>
        </w:tc>
        <w:tc>
          <w:tcPr>
            <w:tcW w:type="dxa" w:w="6917"/>
          </w:tcPr>
          <w:p>
            <w:pPr>
              <w:spacing w:after="40"/>
            </w:pPr>
            <w:r>
              <w:rPr>
                <w:b w:val="0"/>
                <w:sz w:val="19"/>
              </w:rPr>
              <w:t>Propriétaire déclaré, propriétaire réel si différent, historique des cessions.</w:t>
            </w:r>
          </w:p>
        </w:tc>
      </w:tr>
      <w:tr>
        <w:tc>
          <w:tcPr>
            <w:tcW w:type="dxa" w:w="2381"/>
            <w:shd w:val="clear" w:color="auto" w:fill="F2F2F2"/>
          </w:tcPr>
          <w:p>
            <w:pPr>
              <w:spacing w:after="40"/>
            </w:pPr>
            <w:r>
              <w:rPr>
                <w:b/>
                <w:sz w:val="19"/>
              </w:rPr>
              <w:t>Financement</w:t>
            </w:r>
          </w:p>
        </w:tc>
        <w:tc>
          <w:tcPr>
            <w:tcW w:type="dxa" w:w="6917"/>
            <w:shd w:val="clear" w:color="auto" w:fill="F2F2F2"/>
          </w:tcPr>
          <w:p>
            <w:pPr>
              <w:spacing w:after="40"/>
            </w:pPr>
            <w:r>
              <w:rPr>
                <w:b w:val="0"/>
                <w:sz w:val="19"/>
              </w:rPr>
              <w:t>Sources de revenus, concentration, part d'origine publique, part d'origine étrangère.</w:t>
            </w:r>
          </w:p>
        </w:tc>
      </w:tr>
      <w:tr>
        <w:tc>
          <w:tcPr>
            <w:tcW w:type="dxa" w:w="2381"/>
          </w:tcPr>
          <w:p>
            <w:pPr>
              <w:spacing w:after="40"/>
            </w:pPr>
            <w:r>
              <w:rPr>
                <w:b/>
                <w:sz w:val="19"/>
              </w:rPr>
              <w:t>Infrastructure</w:t>
            </w:r>
          </w:p>
        </w:tc>
        <w:tc>
          <w:tcPr>
            <w:tcW w:type="dxa" w:w="6917"/>
          </w:tcPr>
          <w:p>
            <w:pPr>
              <w:spacing w:after="40"/>
            </w:pPr>
            <w:r>
              <w:rPr>
                <w:b w:val="0"/>
                <w:sz w:val="19"/>
              </w:rPr>
              <w:t>Hébergement, date d'enregistrement du domaine, outils de mesure, régie publicitaire.</w:t>
            </w:r>
          </w:p>
        </w:tc>
      </w:tr>
      <w:tr>
        <w:tc>
          <w:tcPr>
            <w:tcW w:type="dxa" w:w="2381"/>
            <w:shd w:val="clear" w:color="auto" w:fill="F2F2F2"/>
          </w:tcPr>
          <w:p>
            <w:pPr>
              <w:spacing w:after="40"/>
            </w:pPr>
            <w:r>
              <w:rPr>
                <w:b/>
                <w:sz w:val="19"/>
              </w:rPr>
              <w:t>Positionnement</w:t>
            </w:r>
          </w:p>
        </w:tc>
        <w:tc>
          <w:tcPr>
            <w:tcW w:type="dxa" w:w="6917"/>
            <w:shd w:val="clear" w:color="auto" w:fill="F2F2F2"/>
          </w:tcPr>
          <w:p>
            <w:pPr>
              <w:spacing w:after="40"/>
            </w:pPr>
            <w:r>
              <w:rPr>
                <w:b w:val="0"/>
                <w:sz w:val="19"/>
              </w:rPr>
              <w:t>Positions constatées sur trois ou quatre sujets clés, avec dates et citations.</w:t>
            </w:r>
          </w:p>
        </w:tc>
      </w:tr>
      <w:tr>
        <w:tc>
          <w:tcPr>
            <w:tcW w:type="dxa" w:w="2381"/>
          </w:tcPr>
          <w:p>
            <w:pPr>
              <w:spacing w:after="40"/>
            </w:pPr>
            <w:r>
              <w:rPr>
                <w:b/>
                <w:sz w:val="19"/>
              </w:rPr>
              <w:t>Antériorité</w:t>
            </w:r>
          </w:p>
        </w:tc>
        <w:tc>
          <w:tcPr>
            <w:tcW w:type="dxa" w:w="6917"/>
          </w:tcPr>
          <w:p>
            <w:pPr>
              <w:spacing w:after="40"/>
            </w:pPr>
            <w:r>
              <w:rPr>
                <w:b w:val="0"/>
                <w:sz w:val="19"/>
              </w:rPr>
              <w:t>Depuis quand ces positions sont-elles tenues ? Y a-t-il eu un basculement, et quand ?</w:t>
            </w:r>
          </w:p>
        </w:tc>
      </w:tr>
      <w:tr>
        <w:tc>
          <w:tcPr>
            <w:tcW w:type="dxa" w:w="2381"/>
            <w:shd w:val="clear" w:color="auto" w:fill="F2F2F2"/>
          </w:tcPr>
          <w:p>
            <w:pPr>
              <w:spacing w:after="40"/>
            </w:pPr>
            <w:r>
              <w:rPr>
                <w:b/>
                <w:sz w:val="19"/>
              </w:rPr>
              <w:t>Leviers de pression</w:t>
            </w:r>
          </w:p>
        </w:tc>
        <w:tc>
          <w:tcPr>
            <w:tcW w:type="dxa" w:w="6917"/>
            <w:shd w:val="clear" w:color="auto" w:fill="F2F2F2"/>
          </w:tcPr>
          <w:p>
            <w:pPr>
              <w:spacing w:after="40"/>
            </w:pPr>
            <w:r>
              <w:rPr>
                <w:b w:val="0"/>
                <w:sz w:val="19"/>
              </w:rPr>
              <w:t>Les leviers identifiés (passe 4), avec pour chacun le niveau de certitude.</w:t>
            </w:r>
          </w:p>
        </w:tc>
      </w:tr>
      <w:tr>
        <w:tc>
          <w:tcPr>
            <w:tcW w:type="dxa" w:w="2381"/>
          </w:tcPr>
          <w:p>
            <w:pPr>
              <w:spacing w:after="40"/>
            </w:pPr>
            <w:r>
              <w:rPr>
                <w:b/>
                <w:sz w:val="19"/>
              </w:rPr>
              <w:t>Statut de relais proposé</w:t>
            </w:r>
          </w:p>
        </w:tc>
        <w:tc>
          <w:tcPr>
            <w:tcW w:type="dxa" w:w="6917"/>
          </w:tcPr>
          <w:p>
            <w:pPr>
              <w:spacing w:after="40"/>
            </w:pPr>
            <w:r>
              <w:rPr>
                <w:b w:val="0"/>
                <w:sz w:val="19"/>
              </w:rPr>
              <w:t>Rémunéré, idéologique, opportuniste, involontaire, ou non qualifié.</w:t>
            </w:r>
          </w:p>
        </w:tc>
      </w:tr>
      <w:tr>
        <w:tc>
          <w:tcPr>
            <w:tcW w:type="dxa" w:w="2381"/>
            <w:shd w:val="clear" w:color="auto" w:fill="F2F2F2"/>
          </w:tcPr>
          <w:p>
            <w:pPr>
              <w:spacing w:after="40"/>
            </w:pPr>
            <w:r>
              <w:rPr>
                <w:b/>
                <w:sz w:val="19"/>
              </w:rPr>
              <w:t>Indices de coordination</w:t>
            </w:r>
          </w:p>
        </w:tc>
        <w:tc>
          <w:tcPr>
            <w:tcW w:type="dxa" w:w="6917"/>
            <w:shd w:val="clear" w:color="auto" w:fill="F2F2F2"/>
          </w:tcPr>
          <w:p>
            <w:pPr>
              <w:spacing w:after="40"/>
            </w:pPr>
            <w:r>
              <w:rPr>
                <w:b w:val="0"/>
                <w:sz w:val="19"/>
              </w:rPr>
              <w:t>Ce qui a été observé, et avec quels autres acteurs.</w:t>
            </w:r>
          </w:p>
        </w:tc>
      </w:tr>
      <w:tr>
        <w:tc>
          <w:tcPr>
            <w:tcW w:type="dxa" w:w="2381"/>
          </w:tcPr>
          <w:p>
            <w:pPr>
              <w:spacing w:after="40"/>
            </w:pPr>
            <w:r>
              <w:rPr>
                <w:b/>
                <w:sz w:val="19"/>
              </w:rPr>
              <w:t>Niveau de confiance</w:t>
            </w:r>
          </w:p>
        </w:tc>
        <w:tc>
          <w:tcPr>
            <w:tcW w:type="dxa" w:w="6917"/>
          </w:tcPr>
          <w:p>
            <w:pPr>
              <w:spacing w:after="40"/>
            </w:pPr>
            <w:r>
              <w:rPr>
                <w:b w:val="0"/>
                <w:sz w:val="19"/>
              </w:rPr>
              <w:t>Établi, probable, hypothèse. À renseigner champ par champ, pas globalement.</w:t>
            </w:r>
          </w:p>
        </w:tc>
      </w:tr>
      <w:tr>
        <w:tc>
          <w:tcPr>
            <w:tcW w:type="dxa" w:w="2381"/>
            <w:shd w:val="clear" w:color="auto" w:fill="F2F2F2"/>
          </w:tcPr>
          <w:p>
            <w:pPr>
              <w:spacing w:after="40"/>
            </w:pPr>
            <w:r>
              <w:rPr>
                <w:b/>
                <w:sz w:val="19"/>
              </w:rPr>
              <w:t>Ce qui invaliderait</w:t>
            </w:r>
          </w:p>
        </w:tc>
        <w:tc>
          <w:tcPr>
            <w:tcW w:type="dxa" w:w="6917"/>
            <w:shd w:val="clear" w:color="auto" w:fill="F2F2F2"/>
          </w:tcPr>
          <w:p>
            <w:pPr>
              <w:spacing w:after="40"/>
            </w:pPr>
            <w:r>
              <w:rPr>
                <w:b w:val="0"/>
                <w:sz w:val="19"/>
              </w:rPr>
              <w:t>L'élément qui ferait tomber l'hypothèse. Champ obligatoire.</w:t>
            </w:r>
          </w:p>
        </w:tc>
      </w:tr>
    </w:tbl>
    <w:p>
      <w:pPr>
        <w:spacing w:after="40"/>
      </w:pPr>
    </w:p>
    <w:p>
      <w:pPr>
        <w:pStyle w:val="Heading1"/>
      </w:pPr>
      <w:r>
        <w:t>Annexe B — Checklist de qualification d'un contenu suspect</w:t>
      </w:r>
    </w:p>
    <w:p>
      <w:r>
        <w:rPr>
          <w:b w:val="0"/>
          <w:i w:val="0"/>
        </w:rPr>
        <w:t>Huit questions, dans cet ordre. Elles reprennent, en lecture défensive, la liste que suivrait l'auteur du contenu.</w:t>
      </w:r>
    </w:p>
    <w:p>
      <w:pPr>
        <w:pStyle w:val="ListNumber"/>
      </w:pPr>
      <w:r>
        <w:rPr>
          <w:b/>
        </w:rPr>
        <w:t xml:space="preserve">Quelle fracture réelle ce contenu exploite-t-il ? </w:t>
      </w:r>
      <w:r>
        <w:t>S'il n'en exploite aucune, il a peu de chances de prendre, et peu d'intérêt.</w:t>
      </w:r>
    </w:p>
    <w:p>
      <w:pPr>
        <w:pStyle w:val="ListNumber"/>
      </w:pPr>
      <w:r>
        <w:rPr>
          <w:b/>
        </w:rPr>
        <w:t xml:space="preserve">Quelle réaction cherche-t-il à provoquer, et chez qui ? </w:t>
      </w:r>
      <w:r>
        <w:t>Formulez la réaction attendue en une phrase. Si elle est coûteuse pour la cible, c'est un indice fort.</w:t>
      </w:r>
    </w:p>
    <w:p>
      <w:pPr>
        <w:pStyle w:val="ListNumber"/>
      </w:pPr>
      <w:r>
        <w:rPr>
          <w:b/>
        </w:rPr>
        <w:t xml:space="preserve">Combien de voix distinctes portent le même récit, et en combien de temps ? </w:t>
      </w:r>
      <w:r>
        <w:t>Trois voix de natures différentes en moins de deux heures est un schéma de diffusion organisée, pas une conversation.</w:t>
      </w:r>
    </w:p>
    <w:p>
      <w:pPr>
        <w:pStyle w:val="ListNumber"/>
      </w:pPr>
      <w:r>
        <w:rPr>
          <w:b/>
        </w:rPr>
        <w:t xml:space="preserve">Existe-t-il, ailleurs, une version contradictoire du même événement, portée par le même camp ? </w:t>
      </w:r>
      <w:r>
        <w:t>La contradiction assumée est une signature.</w:t>
      </w:r>
    </w:p>
    <w:p>
      <w:pPr>
        <w:pStyle w:val="ListNumber"/>
      </w:pPr>
      <w:r>
        <w:rPr>
          <w:b/>
        </w:rPr>
        <w:t xml:space="preserve">Y a-t-il déni accompagné d'une contre-accusation immédiate ? </w:t>
      </w:r>
      <w:r>
        <w:t>Le couple des deux, dans le même mouvement, est caractéristique.</w:t>
      </w:r>
    </w:p>
    <w:p>
      <w:pPr>
        <w:pStyle w:val="ListNumber"/>
      </w:pPr>
      <w:r>
        <w:rPr>
          <w:b/>
        </w:rPr>
        <w:t xml:space="preserve">Y a-t-il une menace, même implicite ? </w:t>
      </w:r>
      <w:r>
        <w:t>L'intimidation est le procédé le plus sous-estimé dans les analyses.</w:t>
      </w:r>
    </w:p>
    <w:p>
      <w:pPr>
        <w:pStyle w:val="ListNumber"/>
      </w:pPr>
      <w:r>
        <w:rPr>
          <w:b/>
        </w:rPr>
        <w:t xml:space="preserve">Qui est présenté en victime, et est-ce cohérent avec les faits établis ? </w:t>
      </w:r>
      <w:r>
        <w:t>L'inversion victimaire est le point de bascule le plus fréquent.</w:t>
      </w:r>
    </w:p>
    <w:p>
      <w:pPr>
        <w:pStyle w:val="ListNumber"/>
      </w:pPr>
      <w:r>
        <w:rPr>
          <w:b/>
        </w:rPr>
        <w:t xml:space="preserve">Ce contenu s'inscrit-il dans une série ? </w:t>
      </w:r>
      <w:r>
        <w:t>Cherchez les occurrences antérieures du même thème. Une escalade par paliers ne se voit que dans la durée.</w:t>
      </w:r>
    </w:p>
    <w:p>
      <w:pPr>
        <w:pStyle w:val="Heading1"/>
      </w:pPr>
      <w:r>
        <w:t>Annexe C — Glossaire</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DCE4F0"/>
          </w:tcPr>
          <w:p>
            <w:pPr>
              <w:spacing w:after="40"/>
            </w:pPr>
            <w:r>
              <w:rPr>
                <w:b/>
                <w:color w:val="1F3B63"/>
                <w:sz w:val="19"/>
              </w:rPr>
              <w:t>Terme</w:t>
            </w:r>
          </w:p>
        </w:tc>
        <w:tc>
          <w:tcPr>
            <w:tcW w:type="dxa" w:w="6917"/>
            <w:shd w:val="clear" w:color="auto" w:fill="DCE4F0"/>
          </w:tcPr>
          <w:p>
            <w:pPr>
              <w:spacing w:after="40"/>
            </w:pPr>
            <w:r>
              <w:rPr>
                <w:b/>
                <w:color w:val="1F3B63"/>
                <w:sz w:val="19"/>
              </w:rPr>
              <w:t>Définition</w:t>
            </w:r>
          </w:p>
        </w:tc>
      </w:tr>
      <w:tr>
        <w:tc>
          <w:tcPr>
            <w:tcW w:type="dxa" w:w="2381"/>
          </w:tcPr>
          <w:p>
            <w:pPr>
              <w:spacing w:after="40"/>
            </w:pPr>
            <w:r>
              <w:rPr>
                <w:b/>
                <w:sz w:val="19"/>
              </w:rPr>
              <w:t>Mode opératoire informationnel (MOI)</w:t>
            </w:r>
          </w:p>
        </w:tc>
        <w:tc>
          <w:tcPr>
            <w:tcW w:type="dxa" w:w="6917"/>
          </w:tcPr>
          <w:p>
            <w:pPr>
              <w:spacing w:after="40"/>
            </w:pPr>
            <w:r>
              <w:rPr>
                <w:b w:val="0"/>
                <w:sz w:val="19"/>
              </w:rPr>
              <w:t>Ensemble de comportements, d'outils et de procédés attribués à un même acteur de menace. Terme français ; équivalent anglais : information manipulation set.</w:t>
            </w:r>
          </w:p>
        </w:tc>
      </w:tr>
      <w:tr>
        <w:tc>
          <w:tcPr>
            <w:tcW w:type="dxa" w:w="2381"/>
            <w:shd w:val="clear" w:color="auto" w:fill="F2F2F2"/>
          </w:tcPr>
          <w:p>
            <w:pPr>
              <w:spacing w:after="40"/>
            </w:pPr>
            <w:r>
              <w:rPr>
                <w:b/>
                <w:sz w:val="19"/>
              </w:rPr>
              <w:t>FIMI</w:t>
            </w:r>
          </w:p>
        </w:tc>
        <w:tc>
          <w:tcPr>
            <w:tcW w:type="dxa" w:w="6917"/>
            <w:shd w:val="clear" w:color="auto" w:fill="F2F2F2"/>
          </w:tcPr>
          <w:p>
            <w:pPr>
              <w:spacing w:after="40"/>
            </w:pPr>
            <w:r>
              <w:rPr>
                <w:b w:val="0"/>
                <w:sz w:val="19"/>
              </w:rPr>
              <w:t>Manipulation de l'information et ingérence étrangères. Terminologie employée par l'Union européenne et l'OTAN.</w:t>
            </w:r>
          </w:p>
        </w:tc>
      </w:tr>
      <w:tr>
        <w:tc>
          <w:tcPr>
            <w:tcW w:type="dxa" w:w="2381"/>
          </w:tcPr>
          <w:p>
            <w:pPr>
              <w:spacing w:after="40"/>
            </w:pPr>
            <w:r>
              <w:rPr>
                <w:b/>
                <w:sz w:val="19"/>
              </w:rPr>
              <w:t>Ingérence numérique étrangère</w:t>
            </w:r>
          </w:p>
        </w:tc>
        <w:tc>
          <w:tcPr>
            <w:tcW w:type="dxa" w:w="6917"/>
          </w:tcPr>
          <w:p>
            <w:pPr>
              <w:spacing w:after="40"/>
            </w:pPr>
            <w:r>
              <w:rPr>
                <w:b w:val="0"/>
                <w:sz w:val="19"/>
              </w:rPr>
              <w:t>Notion juridique française : diffusion artificielle ou automatisée, massive et délibérée, d'allégations manifestement inexactes, par un acteur étranger, portant atteinte aux intérêts fondamentaux de la Nation.</w:t>
            </w:r>
          </w:p>
        </w:tc>
      </w:tr>
      <w:tr>
        <w:tc>
          <w:tcPr>
            <w:tcW w:type="dxa" w:w="2381"/>
            <w:shd w:val="clear" w:color="auto" w:fill="F2F2F2"/>
          </w:tcPr>
          <w:p>
            <w:pPr>
              <w:spacing w:after="40"/>
            </w:pPr>
            <w:r>
              <w:rPr>
                <w:b/>
                <w:sz w:val="19"/>
              </w:rPr>
              <w:t>Clandestinité</w:t>
            </w:r>
          </w:p>
        </w:tc>
        <w:tc>
          <w:tcPr>
            <w:tcW w:type="dxa" w:w="6917"/>
            <w:shd w:val="clear" w:color="auto" w:fill="F2F2F2"/>
          </w:tcPr>
          <w:p>
            <w:pPr>
              <w:spacing w:after="40"/>
            </w:pPr>
            <w:r>
              <w:rPr>
                <w:b w:val="0"/>
                <w:sz w:val="19"/>
              </w:rPr>
              <w:t>Efforts démontrables pour masquer les liens entre les actifs, ou avec le commanditaire. Premier critère de qualification.</w:t>
            </w:r>
          </w:p>
        </w:tc>
      </w:tr>
      <w:tr>
        <w:tc>
          <w:tcPr>
            <w:tcW w:type="dxa" w:w="2381"/>
          </w:tcPr>
          <w:p>
            <w:pPr>
              <w:spacing w:after="40"/>
            </w:pPr>
            <w:r>
              <w:rPr>
                <w:b/>
                <w:sz w:val="19"/>
              </w:rPr>
              <w:t>Coordination</w:t>
            </w:r>
          </w:p>
        </w:tc>
        <w:tc>
          <w:tcPr>
            <w:tcW w:type="dxa" w:w="6917"/>
          </w:tcPr>
          <w:p>
            <w:pPr>
              <w:spacing w:after="40"/>
            </w:pPr>
            <w:r>
              <w:rPr>
                <w:b w:val="0"/>
                <w:sz w:val="19"/>
              </w:rPr>
              <w:t>Emploi concerté d'actifs numériques, présumés opérés par le même acteur. Second critère de qualification.</w:t>
            </w:r>
          </w:p>
        </w:tc>
      </w:tr>
      <w:tr>
        <w:tc>
          <w:tcPr>
            <w:tcW w:type="dxa" w:w="2381"/>
            <w:shd w:val="clear" w:color="auto" w:fill="F2F2F2"/>
          </w:tcPr>
          <w:p>
            <w:pPr>
              <w:spacing w:after="40"/>
            </w:pPr>
            <w:r>
              <w:rPr>
                <w:b/>
                <w:sz w:val="19"/>
              </w:rPr>
              <w:t>Contrôle réflexif</w:t>
            </w:r>
          </w:p>
        </w:tc>
        <w:tc>
          <w:tcPr>
            <w:tcW w:type="dxa" w:w="6917"/>
            <w:shd w:val="clear" w:color="auto" w:fill="F2F2F2"/>
          </w:tcPr>
          <w:p>
            <w:pPr>
              <w:spacing w:after="40"/>
            </w:pPr>
            <w:r>
              <w:rPr>
                <w:b w:val="0"/>
                <w:sz w:val="19"/>
              </w:rPr>
              <w:t>Façonner la perception de l'adversaire pour qu'il choisisse lui-même l'action favorable à l'attaquant. Concept d'origine soviétique.</w:t>
            </w:r>
          </w:p>
        </w:tc>
      </w:tr>
      <w:tr>
        <w:tc>
          <w:tcPr>
            <w:tcW w:type="dxa" w:w="2381"/>
          </w:tcPr>
          <w:p>
            <w:pPr>
              <w:spacing w:after="40"/>
            </w:pPr>
            <w:r>
              <w:rPr>
                <w:b/>
                <w:sz w:val="19"/>
              </w:rPr>
              <w:t>Noyau de vérité</w:t>
            </w:r>
          </w:p>
        </w:tc>
        <w:tc>
          <w:tcPr>
            <w:tcW w:type="dxa" w:w="6917"/>
          </w:tcPr>
          <w:p>
            <w:pPr>
              <w:spacing w:after="40"/>
            </w:pPr>
            <w:r>
              <w:rPr>
                <w:b w:val="0"/>
                <w:sz w:val="19"/>
              </w:rPr>
              <w:t>Ancrage d'un contenu manipulé dans des faits vérifiables, la falsification ne portant que sur un point.</w:t>
            </w:r>
          </w:p>
        </w:tc>
      </w:tr>
      <w:tr>
        <w:tc>
          <w:tcPr>
            <w:tcW w:type="dxa" w:w="2381"/>
            <w:shd w:val="clear" w:color="auto" w:fill="F2F2F2"/>
          </w:tcPr>
          <w:p>
            <w:pPr>
              <w:spacing w:after="40"/>
            </w:pPr>
            <w:r>
              <w:rPr>
                <w:b/>
                <w:sz w:val="19"/>
              </w:rPr>
              <w:t>Saturation informationnelle</w:t>
            </w:r>
          </w:p>
        </w:tc>
        <w:tc>
          <w:tcPr>
            <w:tcW w:type="dxa" w:w="6917"/>
            <w:shd w:val="clear" w:color="auto" w:fill="F2F2F2"/>
          </w:tcPr>
          <w:p>
            <w:pPr>
              <w:spacing w:after="40"/>
            </w:pPr>
            <w:r>
              <w:rPr>
                <w:b w:val="0"/>
                <w:sz w:val="19"/>
              </w:rPr>
              <w:t>Stratégie de volume, de vitesse et de répétition multicanale, indifférente à la cohérence.</w:t>
            </w:r>
          </w:p>
        </w:tc>
      </w:tr>
      <w:tr>
        <w:tc>
          <w:tcPr>
            <w:tcW w:type="dxa" w:w="2381"/>
          </w:tcPr>
          <w:p>
            <w:pPr>
              <w:spacing w:after="40"/>
            </w:pPr>
            <w:r>
              <w:rPr>
                <w:b/>
                <w:sz w:val="19"/>
              </w:rPr>
              <w:t>Blanchiment</w:t>
            </w:r>
          </w:p>
        </w:tc>
        <w:tc>
          <w:tcPr>
            <w:tcW w:type="dxa" w:w="6917"/>
          </w:tcPr>
          <w:p>
            <w:pPr>
              <w:spacing w:after="40"/>
            </w:pPr>
            <w:r>
              <w:rPr>
                <w:b w:val="0"/>
                <w:sz w:val="19"/>
              </w:rPr>
              <w:t>Publication d'un contenu par un média tiers qui le rend citable en coupant le lien avec sa source.</w:t>
            </w:r>
          </w:p>
        </w:tc>
      </w:tr>
      <w:tr>
        <w:tc>
          <w:tcPr>
            <w:tcW w:type="dxa" w:w="2381"/>
            <w:shd w:val="clear" w:color="auto" w:fill="F2F2F2"/>
          </w:tcPr>
          <w:p>
            <w:pPr>
              <w:spacing w:after="40"/>
            </w:pPr>
            <w:r>
              <w:rPr>
                <w:b/>
                <w:sz w:val="19"/>
              </w:rPr>
              <w:t>Primo-diffusion</w:t>
            </w:r>
          </w:p>
        </w:tc>
        <w:tc>
          <w:tcPr>
            <w:tcW w:type="dxa" w:w="6917"/>
            <w:shd w:val="clear" w:color="auto" w:fill="F2F2F2"/>
          </w:tcPr>
          <w:p>
            <w:pPr>
              <w:spacing w:after="40"/>
            </w:pPr>
            <w:r>
              <w:rPr>
                <w:b w:val="0"/>
                <w:sz w:val="19"/>
              </w:rPr>
              <w:t>Première mise en circulation d'un contenu, généralement par des comptes jetables ou des relais rémunérés.</w:t>
            </w:r>
          </w:p>
        </w:tc>
      </w:tr>
      <w:tr>
        <w:tc>
          <w:tcPr>
            <w:tcW w:type="dxa" w:w="2381"/>
          </w:tcPr>
          <w:p>
            <w:pPr>
              <w:spacing w:after="40"/>
            </w:pPr>
            <w:r>
              <w:rPr>
                <w:b/>
                <w:sz w:val="19"/>
              </w:rPr>
              <w:t>Dividende du menteur</w:t>
            </w:r>
          </w:p>
        </w:tc>
        <w:tc>
          <w:tcPr>
            <w:tcW w:type="dxa" w:w="6917"/>
          </w:tcPr>
          <w:p>
            <w:pPr>
              <w:spacing w:after="40"/>
            </w:pPr>
            <w:r>
              <w:rPr>
                <w:b w:val="0"/>
                <w:sz w:val="19"/>
              </w:rPr>
              <w:t>Bénéfice tiré du doute généralisé : la possibilité du faux permet de nier l'authentique.</w:t>
            </w:r>
          </w:p>
        </w:tc>
      </w:tr>
      <w:tr>
        <w:tc>
          <w:tcPr>
            <w:tcW w:type="dxa" w:w="2381"/>
            <w:shd w:val="clear" w:color="auto" w:fill="F2F2F2"/>
          </w:tcPr>
          <w:p>
            <w:pPr>
              <w:spacing w:after="40"/>
            </w:pPr>
            <w:r>
              <w:rPr>
                <w:b/>
                <w:sz w:val="19"/>
              </w:rPr>
              <w:t>Lawfare</w:t>
            </w:r>
          </w:p>
        </w:tc>
        <w:tc>
          <w:tcPr>
            <w:tcW w:type="dxa" w:w="6917"/>
            <w:shd w:val="clear" w:color="auto" w:fill="F2F2F2"/>
          </w:tcPr>
          <w:p>
            <w:pPr>
              <w:spacing w:after="40"/>
            </w:pPr>
            <w:r>
              <w:rPr>
                <w:b w:val="0"/>
                <w:sz w:val="19"/>
              </w:rPr>
              <w:t>Instrumentalisation du droit et des procédures comme arme, notamment pour enliser l'adversaire.</w:t>
            </w:r>
          </w:p>
        </w:tc>
      </w:tr>
      <w:tr>
        <w:tc>
          <w:tcPr>
            <w:tcW w:type="dxa" w:w="2381"/>
          </w:tcPr>
          <w:p>
            <w:pPr>
              <w:spacing w:after="40"/>
            </w:pPr>
            <w:r>
              <w:rPr>
                <w:b/>
                <w:sz w:val="19"/>
              </w:rPr>
              <w:t>Kompromat</w:t>
            </w:r>
          </w:p>
        </w:tc>
        <w:tc>
          <w:tcPr>
            <w:tcW w:type="dxa" w:w="6917"/>
          </w:tcPr>
          <w:p>
            <w:pPr>
              <w:spacing w:after="40"/>
            </w:pPr>
            <w:r>
              <w:rPr>
                <w:b w:val="0"/>
                <w:sz w:val="19"/>
              </w:rPr>
              <w:t>Matériel compromettant, réel ou fabriqué, employé contre une personne nommément désignée.</w:t>
            </w:r>
          </w:p>
        </w:tc>
      </w:tr>
    </w:tbl>
    <w:p>
      <w:pPr>
        <w:spacing w:after="40"/>
      </w:pPr>
    </w:p>
    <w:p/>
    <w:tbl>
      <w:tblPr>
        <w:tblStyle w:val="TableGrid"/>
        <w:tblW w:type="auto" w:w="0"/>
        <w:jc w:val="center"/>
        <w:tblLook w:firstColumn="1" w:firstRow="1" w:lastColumn="0" w:lastRow="0" w:noHBand="0" w:noVBand="1" w:val="04A0"/>
      </w:tblPr>
      <w:tblGrid>
        <w:gridCol w:w="9746"/>
      </w:tblGrid>
      <w:tr>
        <w:tc>
          <w:tcPr>
            <w:tcW w:type="dxa" w:w="9746"/>
            <w:shd w:val="clear" w:color="auto" w:fill="DCE4F0"/>
          </w:tcPr>
          <w:p>
            <w:r/>
            <w:r>
              <w:rPr>
                <w:b/>
                <w:color w:val="1F3B63"/>
                <w:sz w:val="21"/>
              </w:rPr>
              <w:t>Une dernière chose</w:t>
            </w:r>
          </w:p>
          <w:p>
            <w:pPr>
              <w:spacing w:after="40"/>
            </w:pPr>
            <w:r>
              <w:rPr>
                <w:sz w:val="20"/>
              </w:rPr>
              <w:t>La qualité d'un travail de cartographie ne se juge pas au nombre de relais identifiés. Elle se juge à la solidité de ce qui est affirmé et à la clarté de ce qui ne l'est pas. Un rapport qui distingue rigoureusement l'établi, le probable et l'hypothèse sera utilisé. Un rapport qui les mélange sera écarté au premier élément contesté, et emportera le reste avec lui.</w:t>
            </w:r>
          </w:p>
        </w:tc>
      </w:tr>
    </w:tbl>
    <w:p>
      <w:pPr>
        <w:spacing w:after="4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Influence russe — grille de lecture et cartographie des relais · CECPC · 22 septembre 2026 · Sources ouvertes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