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0644C" w14:textId="77777777" w:rsidR="00A53925" w:rsidRPr="002E04B5" w:rsidRDefault="00A53925" w:rsidP="00A5392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04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ПРАВИТЕЛЬСТВО РОССИЙСКОЙ ФЕДЕРАЦИИ</w:t>
      </w:r>
    </w:p>
    <w:p w14:paraId="3D848FE1" w14:textId="77777777" w:rsidR="00A53925" w:rsidRPr="002E04B5" w:rsidRDefault="00A53925" w:rsidP="00A5392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190742C" w14:textId="77777777" w:rsidR="00A53925" w:rsidRPr="002E04B5" w:rsidRDefault="00A53925" w:rsidP="00A5392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04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DC56FC3" w14:textId="77777777" w:rsidR="00A53925" w:rsidRPr="002E04B5" w:rsidRDefault="00A53925" w:rsidP="00A5392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A5D5305" w14:textId="77777777" w:rsidR="00A53925" w:rsidRPr="002E04B5" w:rsidRDefault="00A53925" w:rsidP="00A53925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E04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14:paraId="4946D616" w14:textId="77777777" w:rsidR="00A53925" w:rsidRPr="002E04B5" w:rsidRDefault="00A53925" w:rsidP="00A53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8FD9B7" w14:textId="77777777" w:rsidR="00A53925" w:rsidRPr="002E04B5" w:rsidRDefault="00A53925" w:rsidP="00A5392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E04B5">
        <w:rPr>
          <w:rFonts w:ascii="Times New Roman" w:hAnsi="Times New Roman" w:cs="Times New Roman"/>
          <w:sz w:val="28"/>
          <w:szCs w:val="28"/>
          <w:lang w:eastAsia="ru-RU"/>
        </w:rPr>
        <w:t>Факультет социальных наук</w:t>
      </w:r>
    </w:p>
    <w:p w14:paraId="52A02582" w14:textId="77777777" w:rsidR="00A53925" w:rsidRPr="002E04B5" w:rsidRDefault="00A53925" w:rsidP="00A5392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E04B5">
        <w:rPr>
          <w:rFonts w:ascii="Times New Roman" w:hAnsi="Times New Roman" w:cs="Times New Roman"/>
          <w:sz w:val="28"/>
          <w:szCs w:val="28"/>
          <w:lang w:eastAsia="ru-RU"/>
        </w:rPr>
        <w:t>Департамент политики и управления</w:t>
      </w:r>
    </w:p>
    <w:p w14:paraId="64CBD8DF" w14:textId="77777777" w:rsidR="00A53925" w:rsidRPr="002E04B5" w:rsidRDefault="00A53925" w:rsidP="00A5392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4BCB62" w14:textId="77777777" w:rsidR="00A53925" w:rsidRPr="002E04B5" w:rsidRDefault="00A53925" w:rsidP="00A53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C66FC8" w14:textId="77777777" w:rsidR="00A53925" w:rsidRPr="002E04B5" w:rsidRDefault="00A53925" w:rsidP="00A53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B04D4" w14:textId="77777777" w:rsidR="00A53925" w:rsidRPr="002E04B5" w:rsidRDefault="00A53925" w:rsidP="00A53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50332" w14:textId="77777777" w:rsidR="00A53925" w:rsidRPr="002E04B5" w:rsidRDefault="00A53925" w:rsidP="00A53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486843" w14:textId="77777777" w:rsidR="00A53925" w:rsidRPr="002E04B5" w:rsidRDefault="00A53925" w:rsidP="00A539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B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Медведев Виктор Алексеевич</w:t>
      </w:r>
    </w:p>
    <w:p w14:paraId="5AA5377F" w14:textId="12EAE1AE" w:rsidR="00A53925" w:rsidRPr="00162E58" w:rsidRDefault="00A4306D" w:rsidP="00A539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Отношение труда и </w:t>
      </w:r>
      <w:r w:rsidR="00162E58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удовлетворённости жизнью</w:t>
      </w:r>
    </w:p>
    <w:p w14:paraId="0F4EFC60" w14:textId="77777777" w:rsidR="00A53925" w:rsidRPr="00A40CE8" w:rsidRDefault="00A53925" w:rsidP="00A53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</w:t>
      </w:r>
      <w:r w:rsidRPr="00A40C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A40C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курсу</w:t>
      </w:r>
    </w:p>
    <w:p w14:paraId="7F502170" w14:textId="6E4CC7F2" w:rsidR="00A53925" w:rsidRDefault="00A53925" w:rsidP="00162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Многомерный статистический анализ</w:t>
      </w:r>
    </w:p>
    <w:p w14:paraId="129F780B" w14:textId="0ACCEB7B" w:rsidR="00162E58" w:rsidRDefault="00162E58" w:rsidP="00162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28AF9" w14:textId="2F4A62A0" w:rsidR="00162E58" w:rsidRDefault="00162E58" w:rsidP="00162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BDF67" w14:textId="77777777" w:rsidR="00162E58" w:rsidRPr="00162E58" w:rsidRDefault="00162E58" w:rsidP="00162E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1FCC69" w14:textId="77777777" w:rsidR="00A53925" w:rsidRPr="00BC4016" w:rsidRDefault="00A53925" w:rsidP="00A53925">
      <w:pPr>
        <w:autoSpaceDE w:val="0"/>
        <w:autoSpaceDN w:val="0"/>
        <w:adjustRightInd w:val="0"/>
        <w:spacing w:before="35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1A267" w14:textId="77777777" w:rsidR="00A53925" w:rsidRPr="00BC4016" w:rsidRDefault="00A53925" w:rsidP="00A53925">
      <w:pPr>
        <w:autoSpaceDE w:val="0"/>
        <w:autoSpaceDN w:val="0"/>
        <w:adjustRightInd w:val="0"/>
        <w:spacing w:before="35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EFFD1F" w14:textId="77777777" w:rsidR="00A53925" w:rsidRPr="00BC4016" w:rsidRDefault="00A53925" w:rsidP="00A53925">
      <w:pPr>
        <w:autoSpaceDE w:val="0"/>
        <w:autoSpaceDN w:val="0"/>
        <w:adjustRightInd w:val="0"/>
        <w:spacing w:before="35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E4E7A" w14:textId="77777777" w:rsidR="00A53925" w:rsidRPr="00BC4016" w:rsidRDefault="00A53925" w:rsidP="00A53925">
      <w:pPr>
        <w:autoSpaceDE w:val="0"/>
        <w:autoSpaceDN w:val="0"/>
        <w:adjustRightInd w:val="0"/>
        <w:spacing w:before="35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10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4652"/>
        <w:gridCol w:w="4558"/>
      </w:tblGrid>
      <w:tr w:rsidR="00A53925" w:rsidRPr="002E04B5" w14:paraId="680DB9D6" w14:textId="77777777" w:rsidTr="007E6370">
        <w:trPr>
          <w:trHeight w:val="3500"/>
        </w:trPr>
        <w:tc>
          <w:tcPr>
            <w:tcW w:w="4654" w:type="dxa"/>
          </w:tcPr>
          <w:p w14:paraId="18A56B59" w14:textId="77777777" w:rsidR="00A53925" w:rsidRPr="00BC4016" w:rsidRDefault="00A53925" w:rsidP="007E637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0" w:type="dxa"/>
          </w:tcPr>
          <w:p w14:paraId="1D1404AF" w14:textId="1B83454E" w:rsidR="00A53925" w:rsidRPr="00C12F51" w:rsidRDefault="00A53925" w:rsidP="007E637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Проверила</w:t>
            </w:r>
            <w:r w:rsidRPr="00C12F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24046EC4" w14:textId="6A86EB61" w:rsidR="00A53925" w:rsidRPr="00C12F51" w:rsidRDefault="00162E58" w:rsidP="007E637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магистр социологических наук</w:t>
            </w:r>
            <w:r w:rsidR="00A53925" w:rsidRPr="00C12F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591A09BA" w14:textId="20E123D5" w:rsidR="00A53925" w:rsidRPr="00162E58" w:rsidRDefault="00162E58" w:rsidP="007E637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старший преподаватель</w:t>
            </w:r>
          </w:p>
          <w:p w14:paraId="56F40B12" w14:textId="3B4B49B1" w:rsidR="00A53925" w:rsidRPr="00C12F51" w:rsidRDefault="00A53925" w:rsidP="007E637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Сальникова Дарья Вячеславовна</w:t>
            </w:r>
          </w:p>
          <w:p w14:paraId="6B599DF5" w14:textId="77777777" w:rsidR="00A53925" w:rsidRPr="00C12F51" w:rsidRDefault="00A53925" w:rsidP="007E6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19F2E11" w14:textId="77777777" w:rsidR="00A53925" w:rsidRPr="002E04B5" w:rsidRDefault="00A53925" w:rsidP="00A53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B72E87" w14:textId="77777777" w:rsidR="00A53925" w:rsidRPr="002E04B5" w:rsidRDefault="00A53925" w:rsidP="00A539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09755" w14:textId="77777777" w:rsidR="00A53925" w:rsidRPr="002E04B5" w:rsidRDefault="00A53925" w:rsidP="00A53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A6AC1" w14:textId="77777777" w:rsidR="00A53925" w:rsidRPr="00FB28F3" w:rsidRDefault="00A53925" w:rsidP="00A53925">
      <w:pPr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2E04B5">
        <w:rPr>
          <w:rFonts w:ascii="Times New Roman" w:eastAsia="Arial Unicode MS" w:hAnsi="Times New Roman" w:cs="Times New Roman"/>
          <w:sz w:val="28"/>
          <w:szCs w:val="28"/>
          <w:lang w:eastAsia="ru-RU"/>
        </w:rPr>
        <w:t>Москва – 2020</w:t>
      </w:r>
    </w:p>
    <w:p w14:paraId="27C98D68" w14:textId="48863619" w:rsidR="0041681A" w:rsidRPr="00E6581D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48ABA02" w14:textId="222BDFCA" w:rsidR="00F52C90" w:rsidRPr="003D30FA" w:rsidRDefault="00050A5F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1980-90-ых годов ознаменовался сломом </w:t>
      </w:r>
      <w:r w:rsidR="00537389">
        <w:rPr>
          <w:rFonts w:ascii="Times New Roman" w:hAnsi="Times New Roman" w:cs="Times New Roman"/>
          <w:sz w:val="28"/>
          <w:szCs w:val="28"/>
        </w:rPr>
        <w:t xml:space="preserve">повседневной </w:t>
      </w:r>
      <w:r>
        <w:rPr>
          <w:rFonts w:ascii="Times New Roman" w:hAnsi="Times New Roman" w:cs="Times New Roman"/>
          <w:sz w:val="28"/>
          <w:szCs w:val="28"/>
        </w:rPr>
        <w:t>жизни жителей развитых стран Европы и Америки. Макроэкономические и политические тенденции</w:t>
      </w:r>
      <w:r w:rsidR="00F85075">
        <w:rPr>
          <w:rFonts w:ascii="Times New Roman" w:hAnsi="Times New Roman" w:cs="Times New Roman"/>
          <w:sz w:val="28"/>
          <w:szCs w:val="28"/>
        </w:rPr>
        <w:t>, направленные на либерализацию рынков и ослабление контроля над капиталами повлияли на облик малых городов, занятость</w:t>
      </w:r>
      <w:r w:rsidR="001C259A">
        <w:rPr>
          <w:rFonts w:ascii="Times New Roman" w:hAnsi="Times New Roman" w:cs="Times New Roman"/>
          <w:sz w:val="28"/>
          <w:szCs w:val="28"/>
        </w:rPr>
        <w:t xml:space="preserve"> промышленных</w:t>
      </w:r>
      <w:r w:rsidR="00F85075">
        <w:rPr>
          <w:rFonts w:ascii="Times New Roman" w:hAnsi="Times New Roman" w:cs="Times New Roman"/>
          <w:sz w:val="28"/>
          <w:szCs w:val="28"/>
        </w:rPr>
        <w:t xml:space="preserve"> рабочих </w:t>
      </w:r>
      <w:r w:rsidR="00BE136D">
        <w:rPr>
          <w:rFonts w:ascii="Times New Roman" w:hAnsi="Times New Roman" w:cs="Times New Roman"/>
          <w:sz w:val="28"/>
          <w:szCs w:val="28"/>
        </w:rPr>
        <w:t xml:space="preserve">— </w:t>
      </w:r>
      <w:r w:rsidR="00F85075">
        <w:rPr>
          <w:rFonts w:ascii="Times New Roman" w:hAnsi="Times New Roman" w:cs="Times New Roman"/>
          <w:sz w:val="28"/>
          <w:szCs w:val="28"/>
        </w:rPr>
        <w:t xml:space="preserve">быть занятым в </w:t>
      </w:r>
      <w:r w:rsidR="001C259A">
        <w:rPr>
          <w:rFonts w:ascii="Times New Roman" w:hAnsi="Times New Roman" w:cs="Times New Roman"/>
          <w:sz w:val="28"/>
          <w:szCs w:val="28"/>
        </w:rPr>
        <w:t>индустрии</w:t>
      </w:r>
      <w:r w:rsidR="00F85075">
        <w:rPr>
          <w:rFonts w:ascii="Times New Roman" w:hAnsi="Times New Roman" w:cs="Times New Roman"/>
          <w:sz w:val="28"/>
          <w:szCs w:val="28"/>
        </w:rPr>
        <w:t xml:space="preserve"> стало невыгодно из-за переноса рабочих мест. Этот процесс ослабил также профсоюзы - неокор</w:t>
      </w:r>
      <w:r w:rsidR="001C259A">
        <w:rPr>
          <w:rFonts w:ascii="Times New Roman" w:hAnsi="Times New Roman" w:cs="Times New Roman"/>
          <w:sz w:val="28"/>
          <w:szCs w:val="28"/>
        </w:rPr>
        <w:t>пора</w:t>
      </w:r>
      <w:r w:rsidR="00F85075">
        <w:rPr>
          <w:rFonts w:ascii="Times New Roman" w:hAnsi="Times New Roman" w:cs="Times New Roman"/>
          <w:sz w:val="28"/>
          <w:szCs w:val="28"/>
        </w:rPr>
        <w:t>тивистская модель отношений государства-фирмы-профсоюз</w:t>
      </w:r>
      <w:r w:rsidR="001C259A">
        <w:rPr>
          <w:rFonts w:ascii="Times New Roman" w:hAnsi="Times New Roman" w:cs="Times New Roman"/>
          <w:sz w:val="28"/>
          <w:szCs w:val="28"/>
        </w:rPr>
        <w:t>а</w:t>
      </w:r>
      <w:r w:rsidR="00F85075">
        <w:rPr>
          <w:rFonts w:ascii="Times New Roman" w:hAnsi="Times New Roman" w:cs="Times New Roman"/>
          <w:sz w:val="28"/>
          <w:szCs w:val="28"/>
        </w:rPr>
        <w:t xml:space="preserve"> не могла удержаться в результате ослабления одного из членов</w:t>
      </w:r>
      <w:r w:rsidR="001C259A">
        <w:rPr>
          <w:rFonts w:ascii="Times New Roman" w:hAnsi="Times New Roman" w:cs="Times New Roman"/>
          <w:sz w:val="28"/>
          <w:szCs w:val="28"/>
        </w:rPr>
        <w:t>,</w:t>
      </w:r>
      <w:r w:rsidR="00F85075">
        <w:rPr>
          <w:rFonts w:ascii="Times New Roman" w:hAnsi="Times New Roman" w:cs="Times New Roman"/>
          <w:sz w:val="28"/>
          <w:szCs w:val="28"/>
        </w:rPr>
        <w:t xml:space="preserve"> и </w:t>
      </w:r>
      <w:r w:rsidR="001C259A">
        <w:rPr>
          <w:rFonts w:ascii="Times New Roman" w:hAnsi="Times New Roman" w:cs="Times New Roman"/>
          <w:sz w:val="28"/>
          <w:szCs w:val="28"/>
        </w:rPr>
        <w:t>рабочие союзы</w:t>
      </w:r>
      <w:r w:rsidR="00F85075">
        <w:rPr>
          <w:rFonts w:ascii="Times New Roman" w:hAnsi="Times New Roman" w:cs="Times New Roman"/>
          <w:sz w:val="28"/>
          <w:szCs w:val="28"/>
        </w:rPr>
        <w:t>, некогда влиявш</w:t>
      </w:r>
      <w:r w:rsidR="001C259A">
        <w:rPr>
          <w:rFonts w:ascii="Times New Roman" w:hAnsi="Times New Roman" w:cs="Times New Roman"/>
          <w:sz w:val="28"/>
          <w:szCs w:val="28"/>
        </w:rPr>
        <w:t>ие</w:t>
      </w:r>
      <w:r w:rsidR="00F85075">
        <w:rPr>
          <w:rFonts w:ascii="Times New Roman" w:hAnsi="Times New Roman" w:cs="Times New Roman"/>
          <w:sz w:val="28"/>
          <w:szCs w:val="28"/>
        </w:rPr>
        <w:t xml:space="preserve"> на государственную политику в отношении труда и социального обеспечения</w:t>
      </w:r>
      <w:r w:rsidR="001C259A">
        <w:rPr>
          <w:rFonts w:ascii="Times New Roman" w:hAnsi="Times New Roman" w:cs="Times New Roman"/>
          <w:sz w:val="28"/>
          <w:szCs w:val="28"/>
        </w:rPr>
        <w:t>,</w:t>
      </w:r>
      <w:r w:rsidR="00F85075">
        <w:rPr>
          <w:rFonts w:ascii="Times New Roman" w:hAnsi="Times New Roman" w:cs="Times New Roman"/>
          <w:sz w:val="28"/>
          <w:szCs w:val="28"/>
        </w:rPr>
        <w:t xml:space="preserve"> стал</w:t>
      </w:r>
      <w:r w:rsidR="001C259A">
        <w:rPr>
          <w:rFonts w:ascii="Times New Roman" w:hAnsi="Times New Roman" w:cs="Times New Roman"/>
          <w:sz w:val="28"/>
          <w:szCs w:val="28"/>
        </w:rPr>
        <w:t>и</w:t>
      </w:r>
      <w:r w:rsidR="00F85075">
        <w:rPr>
          <w:rFonts w:ascii="Times New Roman" w:hAnsi="Times New Roman" w:cs="Times New Roman"/>
          <w:sz w:val="28"/>
          <w:szCs w:val="28"/>
        </w:rPr>
        <w:t xml:space="preserve"> разрушаться. </w:t>
      </w:r>
      <w:r w:rsidR="001C259A">
        <w:rPr>
          <w:rFonts w:ascii="Times New Roman" w:hAnsi="Times New Roman" w:cs="Times New Roman"/>
          <w:sz w:val="28"/>
          <w:szCs w:val="28"/>
        </w:rPr>
        <w:t>Через меньше чем десятилетие</w:t>
      </w:r>
      <w:r w:rsidR="00F85075">
        <w:rPr>
          <w:rFonts w:ascii="Times New Roman" w:hAnsi="Times New Roman" w:cs="Times New Roman"/>
          <w:sz w:val="28"/>
          <w:szCs w:val="28"/>
        </w:rPr>
        <w:t xml:space="preserve"> </w:t>
      </w:r>
      <w:r w:rsidR="003D30FA">
        <w:rPr>
          <w:rFonts w:ascii="Times New Roman" w:hAnsi="Times New Roman" w:cs="Times New Roman"/>
          <w:sz w:val="28"/>
          <w:szCs w:val="28"/>
        </w:rPr>
        <w:t>социальные науки стали наблюдать</w:t>
      </w:r>
      <w:r w:rsidR="00F85075">
        <w:rPr>
          <w:rFonts w:ascii="Times New Roman" w:hAnsi="Times New Roman" w:cs="Times New Roman"/>
          <w:sz w:val="28"/>
          <w:szCs w:val="28"/>
        </w:rPr>
        <w:t xml:space="preserve"> </w:t>
      </w:r>
      <w:r w:rsidR="003D30FA">
        <w:rPr>
          <w:rFonts w:ascii="Times New Roman" w:hAnsi="Times New Roman" w:cs="Times New Roman"/>
          <w:sz w:val="28"/>
          <w:szCs w:val="28"/>
        </w:rPr>
        <w:t>явление</w:t>
      </w:r>
      <w:r w:rsidR="00537389">
        <w:rPr>
          <w:rFonts w:ascii="Times New Roman" w:hAnsi="Times New Roman" w:cs="Times New Roman"/>
          <w:sz w:val="28"/>
          <w:szCs w:val="28"/>
        </w:rPr>
        <w:t xml:space="preserve">, названное в США </w:t>
      </w:r>
      <w:r w:rsidR="003D30FA">
        <w:rPr>
          <w:rFonts w:ascii="Times New Roman" w:hAnsi="Times New Roman" w:cs="Times New Roman"/>
          <w:sz w:val="28"/>
          <w:szCs w:val="28"/>
        </w:rPr>
        <w:t>как «смерть от отчаяния» (</w:t>
      </w:r>
      <w:r w:rsidR="003D30FA">
        <w:rPr>
          <w:rFonts w:ascii="Times New Roman" w:hAnsi="Times New Roman" w:cs="Times New Roman"/>
          <w:sz w:val="28"/>
          <w:szCs w:val="28"/>
          <w:lang w:val="en-US"/>
        </w:rPr>
        <w:t>death</w:t>
      </w:r>
      <w:r w:rsidR="003D30FA" w:rsidRPr="003D30FA">
        <w:rPr>
          <w:rFonts w:ascii="Times New Roman" w:hAnsi="Times New Roman" w:cs="Times New Roman"/>
          <w:sz w:val="28"/>
          <w:szCs w:val="28"/>
        </w:rPr>
        <w:t xml:space="preserve"> </w:t>
      </w:r>
      <w:r w:rsidR="003D30F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D30FA" w:rsidRPr="003D30FA">
        <w:rPr>
          <w:rFonts w:ascii="Times New Roman" w:hAnsi="Times New Roman" w:cs="Times New Roman"/>
          <w:sz w:val="28"/>
          <w:szCs w:val="28"/>
        </w:rPr>
        <w:t xml:space="preserve"> </w:t>
      </w:r>
      <w:r w:rsidR="003D30FA">
        <w:rPr>
          <w:rFonts w:ascii="Times New Roman" w:hAnsi="Times New Roman" w:cs="Times New Roman"/>
          <w:sz w:val="28"/>
          <w:szCs w:val="28"/>
          <w:lang w:val="en-US"/>
        </w:rPr>
        <w:t>despair</w:t>
      </w:r>
      <w:r w:rsidR="003D30FA">
        <w:rPr>
          <w:rFonts w:ascii="Times New Roman" w:hAnsi="Times New Roman" w:cs="Times New Roman"/>
          <w:sz w:val="28"/>
          <w:szCs w:val="28"/>
        </w:rPr>
        <w:t>)</w:t>
      </w:r>
      <w:r w:rsidR="00BE136D">
        <w:rPr>
          <w:rFonts w:ascii="Times New Roman" w:hAnsi="Times New Roman" w:cs="Times New Roman"/>
          <w:sz w:val="28"/>
          <w:szCs w:val="28"/>
        </w:rPr>
        <w:t xml:space="preserve"> </w:t>
      </w:r>
      <w:r w:rsidR="00BE136D">
        <w:rPr>
          <w:rFonts w:ascii="Times New Roman" w:hAnsi="Times New Roman" w:cs="Times New Roman"/>
          <w:sz w:val="28"/>
          <w:szCs w:val="28"/>
        </w:rPr>
        <w:t xml:space="preserve">— </w:t>
      </w:r>
      <w:r w:rsidR="003D30FA">
        <w:rPr>
          <w:rFonts w:ascii="Times New Roman" w:hAnsi="Times New Roman" w:cs="Times New Roman"/>
          <w:sz w:val="28"/>
          <w:szCs w:val="28"/>
        </w:rPr>
        <w:t xml:space="preserve">растущая смертность среди работоспособного населения, </w:t>
      </w:r>
      <w:r w:rsidR="00F8579F">
        <w:rPr>
          <w:rFonts w:ascii="Times New Roman" w:hAnsi="Times New Roman" w:cs="Times New Roman"/>
          <w:sz w:val="28"/>
          <w:szCs w:val="28"/>
        </w:rPr>
        <w:t>связанная с употреблением тяжёлых наркотиков, суицидов и ухудшения здоровья</w:t>
      </w:r>
      <w:r w:rsidR="003D30FA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="003D30FA">
        <w:rPr>
          <w:rFonts w:ascii="Times New Roman" w:hAnsi="Times New Roman" w:cs="Times New Roman"/>
          <w:sz w:val="28"/>
          <w:szCs w:val="28"/>
        </w:rPr>
        <w:t>. Исследователи часто связывают этот феномен с изменившимся характером труда, трудовых отношений и трудовой социализации</w:t>
      </w:r>
      <w:r w:rsidR="00F8579F">
        <w:rPr>
          <w:rFonts w:ascii="Times New Roman" w:hAnsi="Times New Roman" w:cs="Times New Roman"/>
          <w:sz w:val="28"/>
          <w:szCs w:val="28"/>
        </w:rPr>
        <w:t>, которые оказывают влияние на удовлетворённость человеком его жизнью</w:t>
      </w:r>
      <w:r w:rsidR="003D30FA">
        <w:rPr>
          <w:rFonts w:ascii="Times New Roman" w:hAnsi="Times New Roman" w:cs="Times New Roman"/>
          <w:sz w:val="28"/>
          <w:szCs w:val="28"/>
        </w:rPr>
        <w:t>. В силу обозначенного контекста в этом эссе ставится вопрос о том,</w:t>
      </w:r>
      <w:r w:rsidR="00F8579F">
        <w:rPr>
          <w:rFonts w:ascii="Times New Roman" w:hAnsi="Times New Roman" w:cs="Times New Roman"/>
          <w:sz w:val="28"/>
          <w:szCs w:val="28"/>
        </w:rPr>
        <w:t xml:space="preserve"> можно ли говорить, что существует значимый эффект от показателей, связанных с трудом, на качество жизни человека в странах с похожей социально-экономической системой </w:t>
      </w:r>
      <w:r w:rsidR="00BE136D">
        <w:rPr>
          <w:rFonts w:ascii="Times New Roman" w:hAnsi="Times New Roman" w:cs="Times New Roman"/>
          <w:sz w:val="28"/>
          <w:szCs w:val="28"/>
        </w:rPr>
        <w:t xml:space="preserve">— </w:t>
      </w:r>
      <w:r w:rsidR="00F8579F">
        <w:rPr>
          <w:rFonts w:ascii="Times New Roman" w:hAnsi="Times New Roman" w:cs="Times New Roman"/>
          <w:sz w:val="28"/>
          <w:szCs w:val="28"/>
        </w:rPr>
        <w:t>странах Европы.</w:t>
      </w:r>
      <w:r w:rsidR="003D30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EA5CE" w14:textId="32D7A510" w:rsidR="00142342" w:rsidRDefault="00142342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целью работы является выявление </w:t>
      </w:r>
      <w:r w:rsidR="00521B4A">
        <w:rPr>
          <w:rFonts w:ascii="Times New Roman" w:hAnsi="Times New Roman" w:cs="Times New Roman"/>
          <w:sz w:val="28"/>
          <w:szCs w:val="28"/>
        </w:rPr>
        <w:t>значим</w:t>
      </w:r>
      <w:r w:rsidR="00F8579F">
        <w:rPr>
          <w:rFonts w:ascii="Times New Roman" w:hAnsi="Times New Roman" w:cs="Times New Roman"/>
          <w:sz w:val="28"/>
          <w:szCs w:val="28"/>
        </w:rPr>
        <w:t>ых</w:t>
      </w:r>
      <w:r w:rsidR="00521B4A">
        <w:rPr>
          <w:rFonts w:ascii="Times New Roman" w:hAnsi="Times New Roman" w:cs="Times New Roman"/>
          <w:sz w:val="28"/>
          <w:szCs w:val="28"/>
        </w:rPr>
        <w:t xml:space="preserve"> переменных, связанных с трудовой деятельностью и трудовым участием, на удовлетворённость жизнью.</w:t>
      </w:r>
    </w:p>
    <w:p w14:paraId="15E419CE" w14:textId="6ABEA6C9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15AA4" w14:textId="77777777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49C07" w14:textId="129A78E6" w:rsidR="002622D9" w:rsidRDefault="002622D9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данной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CC700" w14:textId="1BF06CE8" w:rsidR="002622D9" w:rsidRDefault="00521B4A" w:rsidP="002622D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литературу, охватывающую проблематику </w:t>
      </w:r>
      <w:r w:rsidR="00F8579F">
        <w:rPr>
          <w:rFonts w:ascii="Times New Roman" w:hAnsi="Times New Roman" w:cs="Times New Roman"/>
          <w:sz w:val="28"/>
          <w:szCs w:val="28"/>
        </w:rPr>
        <w:t xml:space="preserve">отношений удовлетворённости  </w:t>
      </w:r>
      <w:r>
        <w:rPr>
          <w:rFonts w:ascii="Times New Roman" w:hAnsi="Times New Roman" w:cs="Times New Roman"/>
          <w:sz w:val="28"/>
          <w:szCs w:val="28"/>
        </w:rPr>
        <w:t>и трудовой деятельности и участия</w:t>
      </w:r>
      <w:r w:rsidR="001C259A">
        <w:rPr>
          <w:rFonts w:ascii="Times New Roman" w:hAnsi="Times New Roman" w:cs="Times New Roman"/>
          <w:sz w:val="28"/>
          <w:szCs w:val="28"/>
        </w:rPr>
        <w:t>.</w:t>
      </w:r>
    </w:p>
    <w:p w14:paraId="4C64B94C" w14:textId="43868D88" w:rsidR="00521B4A" w:rsidRDefault="00F8579F" w:rsidP="002622D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Операционализировать выявленные концепты</w:t>
      </w:r>
      <w:r w:rsidR="001C259A">
        <w:rPr>
          <w:rFonts w:ascii="Times New Roman" w:hAnsi="Times New Roman" w:cs="Times New Roman"/>
          <w:sz w:val="28"/>
          <w:szCs w:val="28"/>
        </w:rPr>
        <w:t>.</w:t>
      </w:r>
    </w:p>
    <w:p w14:paraId="5BF7E81C" w14:textId="718EB33B" w:rsidR="00F8579F" w:rsidRDefault="00F8579F" w:rsidP="002622D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регрессионную модель</w:t>
      </w:r>
      <w:r w:rsidR="001C259A">
        <w:rPr>
          <w:rFonts w:ascii="Times New Roman" w:hAnsi="Times New Roman" w:cs="Times New Roman"/>
          <w:sz w:val="28"/>
          <w:szCs w:val="28"/>
        </w:rPr>
        <w:t>.</w:t>
      </w:r>
    </w:p>
    <w:p w14:paraId="0D580581" w14:textId="0A7ECC0F" w:rsidR="00F8579F" w:rsidRDefault="00F8579F" w:rsidP="002622D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полученные результаты на устойчивость</w:t>
      </w:r>
      <w:r w:rsidR="001C259A">
        <w:rPr>
          <w:rFonts w:ascii="Times New Roman" w:hAnsi="Times New Roman" w:cs="Times New Roman"/>
          <w:sz w:val="28"/>
          <w:szCs w:val="28"/>
        </w:rPr>
        <w:t>.</w:t>
      </w:r>
    </w:p>
    <w:p w14:paraId="404FC5B9" w14:textId="2775948B" w:rsidR="00E6581D" w:rsidRPr="00E6581D" w:rsidRDefault="00F8579F" w:rsidP="00E658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Обсудить полученные результаты модели</w:t>
      </w:r>
      <w:r w:rsidR="001C259A">
        <w:rPr>
          <w:rFonts w:ascii="Times New Roman" w:hAnsi="Times New Roman" w:cs="Times New Roman"/>
          <w:sz w:val="28"/>
          <w:szCs w:val="28"/>
        </w:rPr>
        <w:t>.</w:t>
      </w:r>
    </w:p>
    <w:p w14:paraId="6E76CEBE" w14:textId="77777777" w:rsidR="00E6581D" w:rsidRPr="00E6581D" w:rsidRDefault="00E6581D" w:rsidP="00E658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6BBAA" w14:textId="7AFA2AB9" w:rsidR="00A53925" w:rsidRPr="00E6581D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t>Факторы на индивидуальном уровне</w:t>
      </w:r>
    </w:p>
    <w:p w14:paraId="58C86BE3" w14:textId="381D26CD" w:rsidR="00CC19A6" w:rsidRPr="00BE0D09" w:rsidRDefault="00CC19A6" w:rsidP="00CC19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социологические исследования 1980-ых годов пытались найти </w:t>
      </w:r>
      <w:r w:rsidR="00BC4016">
        <w:rPr>
          <w:rFonts w:ascii="Times New Roman" w:hAnsi="Times New Roman" w:cs="Times New Roman"/>
          <w:sz w:val="28"/>
          <w:szCs w:val="28"/>
        </w:rPr>
        <w:t xml:space="preserve">связь </w:t>
      </w:r>
      <w:r>
        <w:rPr>
          <w:rFonts w:ascii="Times New Roman" w:hAnsi="Times New Roman" w:cs="Times New Roman"/>
          <w:sz w:val="28"/>
          <w:szCs w:val="28"/>
        </w:rPr>
        <w:t xml:space="preserve">между трудом и </w:t>
      </w:r>
      <w:r w:rsidR="00782B46">
        <w:rPr>
          <w:rFonts w:ascii="Times New Roman" w:hAnsi="Times New Roman" w:cs="Times New Roman"/>
          <w:sz w:val="28"/>
          <w:szCs w:val="28"/>
        </w:rPr>
        <w:t xml:space="preserve">общей удовлетворённостью жизни. Одним из учёных, кто внёс значимый вклад в </w:t>
      </w:r>
      <w:r w:rsidR="001C259A">
        <w:rPr>
          <w:rFonts w:ascii="Times New Roman" w:hAnsi="Times New Roman" w:cs="Times New Roman"/>
          <w:sz w:val="28"/>
          <w:szCs w:val="28"/>
        </w:rPr>
        <w:t xml:space="preserve">систематизацию </w:t>
      </w:r>
      <w:r w:rsidR="00782B46">
        <w:rPr>
          <w:rFonts w:ascii="Times New Roman" w:hAnsi="Times New Roman" w:cs="Times New Roman"/>
          <w:sz w:val="28"/>
          <w:szCs w:val="28"/>
        </w:rPr>
        <w:t>эмпирическ</w:t>
      </w:r>
      <w:r w:rsidR="001C259A">
        <w:rPr>
          <w:rFonts w:ascii="Times New Roman" w:hAnsi="Times New Roman" w:cs="Times New Roman"/>
          <w:sz w:val="28"/>
          <w:szCs w:val="28"/>
        </w:rPr>
        <w:t>их</w:t>
      </w:r>
      <w:r w:rsidR="00782B46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 w:rsidR="001C259A">
        <w:rPr>
          <w:rFonts w:ascii="Times New Roman" w:hAnsi="Times New Roman" w:cs="Times New Roman"/>
          <w:sz w:val="28"/>
          <w:szCs w:val="28"/>
        </w:rPr>
        <w:t>й</w:t>
      </w:r>
      <w:r w:rsidR="00782B46">
        <w:rPr>
          <w:rFonts w:ascii="Times New Roman" w:hAnsi="Times New Roman" w:cs="Times New Roman"/>
          <w:sz w:val="28"/>
          <w:szCs w:val="28"/>
        </w:rPr>
        <w:t xml:space="preserve"> отношений труда и качества жизни, является </w:t>
      </w:r>
      <w:r w:rsidR="001C259A">
        <w:rPr>
          <w:rFonts w:ascii="Times New Roman" w:hAnsi="Times New Roman" w:cs="Times New Roman"/>
          <w:sz w:val="28"/>
          <w:szCs w:val="28"/>
        </w:rPr>
        <w:t xml:space="preserve">Р. </w:t>
      </w:r>
      <w:r w:rsidR="00782B46">
        <w:rPr>
          <w:rFonts w:ascii="Times New Roman" w:hAnsi="Times New Roman" w:cs="Times New Roman"/>
          <w:sz w:val="28"/>
          <w:szCs w:val="28"/>
        </w:rPr>
        <w:t>Райс</w:t>
      </w:r>
      <w:r w:rsidR="001C259A">
        <w:rPr>
          <w:rFonts w:ascii="Times New Roman" w:hAnsi="Times New Roman" w:cs="Times New Roman"/>
          <w:sz w:val="28"/>
          <w:szCs w:val="28"/>
        </w:rPr>
        <w:t xml:space="preserve">. </w:t>
      </w:r>
      <w:r w:rsidR="00BE0D09">
        <w:rPr>
          <w:rFonts w:ascii="Times New Roman" w:hAnsi="Times New Roman" w:cs="Times New Roman"/>
          <w:sz w:val="28"/>
          <w:szCs w:val="28"/>
        </w:rPr>
        <w:t>В обнаруженных ним 23 исследованиях более 90% случаев направления отношений удовлетворённости жизнью и удовлетворённости трудом имеют положительное взаимодействие</w:t>
      </w:r>
      <w:r w:rsidR="00BE0D09"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="00BE0D09">
        <w:rPr>
          <w:rFonts w:ascii="Times New Roman" w:hAnsi="Times New Roman" w:cs="Times New Roman"/>
          <w:sz w:val="28"/>
          <w:szCs w:val="28"/>
        </w:rPr>
        <w:t>. Важно отметить, что там, где находилась отрицательная взаимосвязь, результаты не являлись статистически надёжными. Однако в силу неразвитости статистических инструментов и объёма данных, исследователь заявляет о том, что удовлетворённость работой по значимости</w:t>
      </w:r>
      <w:r w:rsidR="00537389">
        <w:rPr>
          <w:rFonts w:ascii="Times New Roman" w:hAnsi="Times New Roman" w:cs="Times New Roman"/>
          <w:sz w:val="28"/>
          <w:szCs w:val="28"/>
        </w:rPr>
        <w:t xml:space="preserve"> влияния на удовлетворённость жизнью</w:t>
      </w:r>
      <w:r w:rsidR="00BE0D09">
        <w:rPr>
          <w:rFonts w:ascii="Times New Roman" w:hAnsi="Times New Roman" w:cs="Times New Roman"/>
          <w:sz w:val="28"/>
          <w:szCs w:val="28"/>
        </w:rPr>
        <w:t xml:space="preserve"> вытесняет удовлетворённость другими вещами, как правило, ассоциируемыми с консервативными ценностями - семья, брак.</w:t>
      </w:r>
    </w:p>
    <w:p w14:paraId="7B00387E" w14:textId="6E9B3062" w:rsidR="00E513A9" w:rsidRDefault="00B550BC" w:rsidP="00E51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Позже стали появляться</w:t>
      </w:r>
      <w:r w:rsidR="00A54D1A">
        <w:rPr>
          <w:rFonts w:ascii="Times New Roman" w:hAnsi="Times New Roman" w:cs="Times New Roman"/>
          <w:sz w:val="28"/>
          <w:szCs w:val="28"/>
        </w:rPr>
        <w:t xml:space="preserve"> убедительные доказательства того, что социальная важность работы не является модератором, увеличивающим взаимосвязь между удовлетворённостью работой и жизнью. Американские исследования качества жизни и качества занятости 1971-1973 гг. показывают, </w:t>
      </w:r>
      <w:r w:rsidR="00A54D1A">
        <w:rPr>
          <w:rFonts w:ascii="Times New Roman" w:hAnsi="Times New Roman" w:cs="Times New Roman"/>
          <w:sz w:val="28"/>
          <w:szCs w:val="28"/>
        </w:rPr>
        <w:lastRenderedPageBreak/>
        <w:t>что респонденты, чьи рабочие места, считается, должны обладать большей социальной значимостью, не имеют более выраженной положительной связи между удовлетворённостью работой и жизнью</w:t>
      </w:r>
      <w:r w:rsidR="00A54D1A">
        <w:rPr>
          <w:rStyle w:val="a6"/>
          <w:rFonts w:ascii="Times New Roman" w:hAnsi="Times New Roman" w:cs="Times New Roman"/>
          <w:sz w:val="28"/>
          <w:szCs w:val="28"/>
        </w:rPr>
        <w:footnoteReference w:id="3"/>
      </w:r>
      <w:r w:rsidR="00A54D1A">
        <w:rPr>
          <w:rFonts w:ascii="Times New Roman" w:hAnsi="Times New Roman" w:cs="Times New Roman"/>
          <w:sz w:val="28"/>
          <w:szCs w:val="28"/>
        </w:rPr>
        <w:t xml:space="preserve">. </w:t>
      </w:r>
      <w:r w:rsidR="00185404">
        <w:rPr>
          <w:rFonts w:ascii="Times New Roman" w:hAnsi="Times New Roman" w:cs="Times New Roman"/>
          <w:sz w:val="28"/>
          <w:szCs w:val="28"/>
        </w:rPr>
        <w:t>Дополнительным свидетельством этой точке зрения служит американское исследование взаимосвязи удовлетворённости работой и жизнью у людей, занятых в сфере продаж</w:t>
      </w:r>
      <w:r w:rsidR="00185404">
        <w:rPr>
          <w:rStyle w:val="a6"/>
          <w:rFonts w:ascii="Times New Roman" w:hAnsi="Times New Roman" w:cs="Times New Roman"/>
          <w:sz w:val="28"/>
          <w:szCs w:val="28"/>
        </w:rPr>
        <w:footnoteReference w:id="4"/>
      </w:r>
      <w:r w:rsidR="00185404">
        <w:rPr>
          <w:rFonts w:ascii="Times New Roman" w:hAnsi="Times New Roman" w:cs="Times New Roman"/>
          <w:sz w:val="28"/>
          <w:szCs w:val="28"/>
        </w:rPr>
        <w:t xml:space="preserve">. Однако в этом труде подчёркивается отсутствие более сильной взаимосвязи между уровнем внутри организации и удовлетворённостью </w:t>
      </w:r>
      <w:r w:rsidR="00BE136D">
        <w:rPr>
          <w:rFonts w:ascii="Times New Roman" w:hAnsi="Times New Roman" w:cs="Times New Roman"/>
          <w:sz w:val="28"/>
          <w:szCs w:val="28"/>
        </w:rPr>
        <w:t xml:space="preserve">— </w:t>
      </w:r>
      <w:r w:rsidR="00185404">
        <w:rPr>
          <w:rFonts w:ascii="Times New Roman" w:hAnsi="Times New Roman" w:cs="Times New Roman"/>
          <w:sz w:val="28"/>
          <w:szCs w:val="28"/>
        </w:rPr>
        <w:t xml:space="preserve">вне зависимости от «ступеньки», на которой находится трудящийся, эффект от труда на уровень его удовлетворённости меняться значимо не будет. </w:t>
      </w:r>
      <w:r w:rsidR="00A54D1A">
        <w:rPr>
          <w:rFonts w:ascii="Times New Roman" w:hAnsi="Times New Roman" w:cs="Times New Roman"/>
          <w:sz w:val="28"/>
          <w:szCs w:val="28"/>
        </w:rPr>
        <w:t xml:space="preserve">Это </w:t>
      </w:r>
      <w:r w:rsidR="00B14F08">
        <w:rPr>
          <w:rFonts w:ascii="Times New Roman" w:hAnsi="Times New Roman" w:cs="Times New Roman"/>
          <w:sz w:val="28"/>
          <w:szCs w:val="28"/>
        </w:rPr>
        <w:t>позволяет нам</w:t>
      </w:r>
      <w:r w:rsidR="00A54D1A">
        <w:rPr>
          <w:rFonts w:ascii="Times New Roman" w:hAnsi="Times New Roman" w:cs="Times New Roman"/>
          <w:sz w:val="28"/>
          <w:szCs w:val="28"/>
        </w:rPr>
        <w:t xml:space="preserve"> предположить, что </w:t>
      </w:r>
      <w:r w:rsidR="00B14F08">
        <w:rPr>
          <w:rFonts w:ascii="Times New Roman" w:hAnsi="Times New Roman" w:cs="Times New Roman"/>
          <w:sz w:val="28"/>
          <w:szCs w:val="28"/>
        </w:rPr>
        <w:t>может быть легитимно не учитывать род и характер работы.</w:t>
      </w:r>
    </w:p>
    <w:p w14:paraId="03A5A329" w14:textId="4624AD2F" w:rsidR="00280C46" w:rsidRDefault="00E513A9" w:rsidP="00E51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Исследования также представляют доказательства того, что </w:t>
      </w:r>
      <w:r w:rsidR="001B5727">
        <w:rPr>
          <w:rFonts w:ascii="Times New Roman" w:hAnsi="Times New Roman" w:cs="Times New Roman"/>
          <w:sz w:val="28"/>
          <w:szCs w:val="28"/>
        </w:rPr>
        <w:t>меньшее количество труда, отсутствие трудовой социализации негативно влияет на общей уровень удовлетворённости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footnoteReference w:id="5"/>
      </w:r>
      <w:r w:rsidR="001B5727">
        <w:rPr>
          <w:rFonts w:ascii="Times New Roman" w:hAnsi="Times New Roman" w:cs="Times New Roman"/>
          <w:sz w:val="28"/>
          <w:szCs w:val="28"/>
        </w:rPr>
        <w:t xml:space="preserve">. Меньше работающий человек оказывается более изолированным, что часто </w:t>
      </w:r>
      <w:r w:rsidR="00A63A81">
        <w:rPr>
          <w:rFonts w:ascii="Times New Roman" w:hAnsi="Times New Roman" w:cs="Times New Roman"/>
          <w:sz w:val="28"/>
          <w:szCs w:val="28"/>
        </w:rPr>
        <w:t>обладает</w:t>
      </w:r>
      <w:r w:rsidR="001B5727">
        <w:rPr>
          <w:rFonts w:ascii="Times New Roman" w:hAnsi="Times New Roman" w:cs="Times New Roman"/>
          <w:sz w:val="28"/>
          <w:szCs w:val="28"/>
        </w:rPr>
        <w:t xml:space="preserve"> воздействие</w:t>
      </w:r>
      <w:r w:rsidR="00A63A81">
        <w:rPr>
          <w:rFonts w:ascii="Times New Roman" w:hAnsi="Times New Roman" w:cs="Times New Roman"/>
          <w:sz w:val="28"/>
          <w:szCs w:val="28"/>
        </w:rPr>
        <w:t>м</w:t>
      </w:r>
      <w:r w:rsidR="001B5727">
        <w:rPr>
          <w:rFonts w:ascii="Times New Roman" w:hAnsi="Times New Roman" w:cs="Times New Roman"/>
          <w:sz w:val="28"/>
          <w:szCs w:val="28"/>
        </w:rPr>
        <w:t xml:space="preserve"> на самоощущение человека, вероятность завести долговременные социальные отношения, в которые он может быть погружен</w:t>
      </w:r>
      <w:r w:rsidR="00725D2C">
        <w:rPr>
          <w:rStyle w:val="a6"/>
          <w:rFonts w:ascii="Times New Roman" w:hAnsi="Times New Roman" w:cs="Times New Roman"/>
          <w:sz w:val="28"/>
          <w:szCs w:val="28"/>
        </w:rPr>
        <w:footnoteReference w:id="6"/>
      </w:r>
      <w:r w:rsidR="001B5727">
        <w:rPr>
          <w:rFonts w:ascii="Times New Roman" w:hAnsi="Times New Roman" w:cs="Times New Roman"/>
          <w:sz w:val="28"/>
          <w:szCs w:val="28"/>
        </w:rPr>
        <w:t xml:space="preserve">. Помимо социальной депривации исследователи указывают на то, что меньше работающие люди беднее тех, кто </w:t>
      </w:r>
      <w:r w:rsidR="006D488A">
        <w:rPr>
          <w:rFonts w:ascii="Times New Roman" w:hAnsi="Times New Roman" w:cs="Times New Roman"/>
          <w:sz w:val="28"/>
          <w:szCs w:val="28"/>
        </w:rPr>
        <w:t xml:space="preserve">больше работает, однако это, несмотря на </w:t>
      </w:r>
      <w:r w:rsidR="007A0240">
        <w:rPr>
          <w:rFonts w:ascii="Times New Roman" w:hAnsi="Times New Roman" w:cs="Times New Roman"/>
          <w:sz w:val="28"/>
          <w:szCs w:val="28"/>
        </w:rPr>
        <w:t>кажущуюся очевидность, довольно спорный тезис, что показывает эффект «работающей бедности».</w:t>
      </w:r>
      <w:r w:rsidR="00280C46">
        <w:rPr>
          <w:rFonts w:ascii="Times New Roman" w:hAnsi="Times New Roman" w:cs="Times New Roman"/>
          <w:sz w:val="28"/>
          <w:szCs w:val="28"/>
        </w:rPr>
        <w:t xml:space="preserve"> Но, что более интересно,</w:t>
      </w:r>
      <w:r w:rsidR="007E6370">
        <w:rPr>
          <w:rFonts w:ascii="Times New Roman" w:hAnsi="Times New Roman" w:cs="Times New Roman"/>
          <w:sz w:val="28"/>
          <w:szCs w:val="28"/>
        </w:rPr>
        <w:t xml:space="preserve"> есть свидетельства </w:t>
      </w:r>
      <w:r w:rsidR="00537389">
        <w:rPr>
          <w:rFonts w:ascii="Times New Roman" w:hAnsi="Times New Roman" w:cs="Times New Roman"/>
          <w:sz w:val="28"/>
          <w:szCs w:val="28"/>
        </w:rPr>
        <w:t>в пользу того, что</w:t>
      </w:r>
      <w:r w:rsidR="00280C46">
        <w:rPr>
          <w:rFonts w:ascii="Times New Roman" w:hAnsi="Times New Roman" w:cs="Times New Roman"/>
          <w:sz w:val="28"/>
          <w:szCs w:val="28"/>
        </w:rPr>
        <w:t xml:space="preserve"> </w:t>
      </w:r>
      <w:r w:rsidR="007E6370">
        <w:rPr>
          <w:rFonts w:ascii="Times New Roman" w:hAnsi="Times New Roman" w:cs="Times New Roman"/>
          <w:sz w:val="28"/>
          <w:szCs w:val="28"/>
        </w:rPr>
        <w:t xml:space="preserve">на </w:t>
      </w:r>
      <w:r w:rsidR="00280C46">
        <w:rPr>
          <w:rFonts w:ascii="Times New Roman" w:hAnsi="Times New Roman" w:cs="Times New Roman"/>
          <w:sz w:val="28"/>
          <w:szCs w:val="28"/>
        </w:rPr>
        <w:t>удовлетворённость</w:t>
      </w:r>
      <w:r w:rsidR="007E6370">
        <w:rPr>
          <w:rFonts w:ascii="Times New Roman" w:hAnsi="Times New Roman" w:cs="Times New Roman"/>
          <w:sz w:val="28"/>
          <w:szCs w:val="28"/>
        </w:rPr>
        <w:t xml:space="preserve"> наибольш</w:t>
      </w:r>
      <w:r w:rsidR="000D247F">
        <w:rPr>
          <w:rFonts w:ascii="Times New Roman" w:hAnsi="Times New Roman" w:cs="Times New Roman"/>
          <w:sz w:val="28"/>
          <w:szCs w:val="28"/>
        </w:rPr>
        <w:t>ее</w:t>
      </w:r>
      <w:r w:rsidR="007E6370">
        <w:rPr>
          <w:rFonts w:ascii="Times New Roman" w:hAnsi="Times New Roman" w:cs="Times New Roman"/>
          <w:sz w:val="28"/>
          <w:szCs w:val="28"/>
        </w:rPr>
        <w:t xml:space="preserve"> воздействие </w:t>
      </w:r>
      <w:r w:rsidR="00537389">
        <w:rPr>
          <w:rFonts w:ascii="Times New Roman" w:hAnsi="Times New Roman" w:cs="Times New Roman"/>
          <w:sz w:val="28"/>
          <w:szCs w:val="28"/>
        </w:rPr>
        <w:t>имеют</w:t>
      </w:r>
      <w:r w:rsidR="00280C46">
        <w:rPr>
          <w:rFonts w:ascii="Times New Roman" w:hAnsi="Times New Roman" w:cs="Times New Roman"/>
          <w:sz w:val="28"/>
          <w:szCs w:val="28"/>
        </w:rPr>
        <w:t xml:space="preserve"> </w:t>
      </w:r>
      <w:r w:rsidR="00DC792F">
        <w:rPr>
          <w:rFonts w:ascii="Times New Roman" w:hAnsi="Times New Roman" w:cs="Times New Roman"/>
          <w:sz w:val="28"/>
          <w:szCs w:val="28"/>
        </w:rPr>
        <w:t xml:space="preserve">осознаваемые </w:t>
      </w:r>
      <w:r w:rsidR="00280C46">
        <w:rPr>
          <w:rFonts w:ascii="Times New Roman" w:hAnsi="Times New Roman" w:cs="Times New Roman"/>
          <w:sz w:val="28"/>
          <w:szCs w:val="28"/>
        </w:rPr>
        <w:lastRenderedPageBreak/>
        <w:t>перспектив</w:t>
      </w:r>
      <w:r w:rsidR="007E6370">
        <w:rPr>
          <w:rFonts w:ascii="Times New Roman" w:hAnsi="Times New Roman" w:cs="Times New Roman"/>
          <w:sz w:val="28"/>
          <w:szCs w:val="28"/>
        </w:rPr>
        <w:t>ы</w:t>
      </w:r>
      <w:r w:rsidR="000D247F">
        <w:rPr>
          <w:rFonts w:ascii="Times New Roman" w:hAnsi="Times New Roman" w:cs="Times New Roman"/>
          <w:sz w:val="28"/>
          <w:szCs w:val="28"/>
        </w:rPr>
        <w:t xml:space="preserve"> краткосрочного и долгосрочного развития отношений с коллегами и партнёрами</w:t>
      </w:r>
      <w:r w:rsidR="00280C46">
        <w:rPr>
          <w:rStyle w:val="a6"/>
          <w:rFonts w:ascii="Times New Roman" w:hAnsi="Times New Roman" w:cs="Times New Roman"/>
          <w:sz w:val="28"/>
          <w:szCs w:val="28"/>
        </w:rPr>
        <w:footnoteReference w:id="7"/>
      </w:r>
      <w:r w:rsidR="000D247F">
        <w:rPr>
          <w:rFonts w:ascii="Times New Roman" w:hAnsi="Times New Roman" w:cs="Times New Roman"/>
          <w:sz w:val="28"/>
          <w:szCs w:val="28"/>
        </w:rPr>
        <w:t>.</w:t>
      </w:r>
    </w:p>
    <w:p w14:paraId="53EEFCC4" w14:textId="3F946B1D" w:rsidR="00CC19A6" w:rsidRDefault="007A0240" w:rsidP="00EA1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 о социализации можно распространить н</w:t>
      </w:r>
      <w:r w:rsidR="007E6370">
        <w:rPr>
          <w:rFonts w:ascii="Times New Roman" w:hAnsi="Times New Roman" w:cs="Times New Roman"/>
          <w:sz w:val="28"/>
          <w:szCs w:val="28"/>
        </w:rPr>
        <w:t>а профсоюзы. Производственные союзы, на примере исследований производств в Германии, оказывают некоторое, но довольно малое влияние в краткосрочной перспективе на рабочего при вступлении в профсоюз</w:t>
      </w:r>
      <w:r w:rsidR="000956D4">
        <w:rPr>
          <w:rStyle w:val="a6"/>
          <w:rFonts w:ascii="Times New Roman" w:hAnsi="Times New Roman" w:cs="Times New Roman"/>
          <w:sz w:val="28"/>
          <w:szCs w:val="28"/>
        </w:rPr>
        <w:footnoteReference w:id="8"/>
      </w:r>
      <w:r w:rsidR="007E6370">
        <w:rPr>
          <w:rFonts w:ascii="Times New Roman" w:hAnsi="Times New Roman" w:cs="Times New Roman"/>
          <w:sz w:val="28"/>
          <w:szCs w:val="28"/>
        </w:rPr>
        <w:t xml:space="preserve">. Однако теоретически основания и экономические мотивации членов профсоюзов можно предположить </w:t>
      </w:r>
      <w:r w:rsidR="000956D4">
        <w:rPr>
          <w:rFonts w:ascii="Times New Roman" w:hAnsi="Times New Roman" w:cs="Times New Roman"/>
          <w:sz w:val="28"/>
          <w:szCs w:val="28"/>
        </w:rPr>
        <w:t>из их классового интереса</w:t>
      </w:r>
      <w:r w:rsidR="000D247F">
        <w:rPr>
          <w:rFonts w:ascii="Times New Roman" w:hAnsi="Times New Roman" w:cs="Times New Roman"/>
          <w:sz w:val="28"/>
          <w:szCs w:val="28"/>
        </w:rPr>
        <w:t xml:space="preserve"> и поведения</w:t>
      </w:r>
      <w:r w:rsidR="000956D4">
        <w:rPr>
          <w:rFonts w:ascii="Times New Roman" w:hAnsi="Times New Roman" w:cs="Times New Roman"/>
          <w:sz w:val="28"/>
          <w:szCs w:val="28"/>
        </w:rPr>
        <w:t xml:space="preserve"> </w:t>
      </w:r>
      <w:r w:rsidR="00BE136D">
        <w:rPr>
          <w:rFonts w:ascii="Times New Roman" w:hAnsi="Times New Roman" w:cs="Times New Roman"/>
          <w:sz w:val="28"/>
          <w:szCs w:val="28"/>
        </w:rPr>
        <w:t xml:space="preserve">— </w:t>
      </w:r>
      <w:r w:rsidR="000956D4">
        <w:rPr>
          <w:rFonts w:ascii="Times New Roman" w:hAnsi="Times New Roman" w:cs="Times New Roman"/>
          <w:sz w:val="28"/>
          <w:szCs w:val="28"/>
        </w:rPr>
        <w:t>член профсоюза, как правило, более с</w:t>
      </w:r>
      <w:r w:rsidR="00EA1598">
        <w:rPr>
          <w:rFonts w:ascii="Times New Roman" w:hAnsi="Times New Roman" w:cs="Times New Roman"/>
          <w:sz w:val="28"/>
          <w:szCs w:val="28"/>
        </w:rPr>
        <w:t>оциализирован в коллективе, и поэтому</w:t>
      </w:r>
      <w:r w:rsidR="000D247F">
        <w:rPr>
          <w:rFonts w:ascii="Times New Roman" w:hAnsi="Times New Roman" w:cs="Times New Roman"/>
          <w:sz w:val="28"/>
          <w:szCs w:val="28"/>
        </w:rPr>
        <w:t xml:space="preserve"> не идёт на </w:t>
      </w:r>
      <w:r w:rsidR="00EA1598">
        <w:rPr>
          <w:rFonts w:ascii="Times New Roman" w:hAnsi="Times New Roman" w:cs="Times New Roman"/>
          <w:sz w:val="28"/>
          <w:szCs w:val="28"/>
        </w:rPr>
        <w:t xml:space="preserve">сепаратные </w:t>
      </w:r>
      <w:r w:rsidR="000D247F">
        <w:rPr>
          <w:rFonts w:ascii="Times New Roman" w:hAnsi="Times New Roman" w:cs="Times New Roman"/>
          <w:sz w:val="28"/>
          <w:szCs w:val="28"/>
        </w:rPr>
        <w:t>компромиссы</w:t>
      </w:r>
      <w:r w:rsidR="00EA1598">
        <w:rPr>
          <w:rFonts w:ascii="Times New Roman" w:hAnsi="Times New Roman" w:cs="Times New Roman"/>
          <w:sz w:val="28"/>
          <w:szCs w:val="28"/>
        </w:rPr>
        <w:t xml:space="preserve"> с начальством. </w:t>
      </w:r>
    </w:p>
    <w:p w14:paraId="3BDE0B3B" w14:textId="77777777" w:rsidR="00E6581D" w:rsidRDefault="00E6581D" w:rsidP="00EA1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2F42D" w14:textId="0E24657F" w:rsidR="00A53925" w:rsidRPr="00E6581D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t>Факторы на страновом уровне</w:t>
      </w:r>
    </w:p>
    <w:p w14:paraId="36D08F83" w14:textId="70B06B97" w:rsidR="000956D4" w:rsidRDefault="000956D4" w:rsidP="00095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исследователи при анализе разделяют страны на различные </w:t>
      </w:r>
      <w:r w:rsidR="00E43B28">
        <w:rPr>
          <w:rFonts w:ascii="Times New Roman" w:hAnsi="Times New Roman" w:cs="Times New Roman"/>
          <w:sz w:val="28"/>
          <w:szCs w:val="28"/>
        </w:rPr>
        <w:t>группы, так как находят разные типы взаимосвязи переменной и зависимой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3B28">
        <w:rPr>
          <w:rFonts w:ascii="Times New Roman" w:hAnsi="Times New Roman" w:cs="Times New Roman"/>
          <w:sz w:val="28"/>
          <w:szCs w:val="28"/>
        </w:rPr>
        <w:t xml:space="preserve"> Ряд исследований показывает, что в странах с меньшим уровнем доходов люди с увеличением юнионизации имеют большую степень удовлетворённости жизнью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3B28">
        <w:rPr>
          <w:rFonts w:ascii="Times New Roman" w:hAnsi="Times New Roman" w:cs="Times New Roman"/>
          <w:sz w:val="28"/>
          <w:szCs w:val="28"/>
        </w:rPr>
        <w:t xml:space="preserve"> С другой стороны, в п</w:t>
      </w:r>
      <w:r>
        <w:rPr>
          <w:rFonts w:ascii="Times New Roman" w:hAnsi="Times New Roman" w:cs="Times New Roman"/>
          <w:sz w:val="28"/>
          <w:szCs w:val="28"/>
        </w:rPr>
        <w:t>осткоммунистически</w:t>
      </w:r>
      <w:r w:rsidR="00E43B28">
        <w:rPr>
          <w:rFonts w:ascii="Times New Roman" w:hAnsi="Times New Roman" w:cs="Times New Roman"/>
          <w:sz w:val="28"/>
          <w:szCs w:val="28"/>
        </w:rPr>
        <w:t xml:space="preserve">х странах степень юнионизации часто меньше, в силу слома </w:t>
      </w:r>
      <w:r w:rsidR="00A76F03">
        <w:rPr>
          <w:rFonts w:ascii="Times New Roman" w:hAnsi="Times New Roman" w:cs="Times New Roman"/>
          <w:sz w:val="28"/>
          <w:szCs w:val="28"/>
        </w:rPr>
        <w:t xml:space="preserve">продолжительно </w:t>
      </w:r>
      <w:r w:rsidR="00E43B28">
        <w:rPr>
          <w:rFonts w:ascii="Times New Roman" w:hAnsi="Times New Roman" w:cs="Times New Roman"/>
          <w:sz w:val="28"/>
          <w:szCs w:val="28"/>
        </w:rPr>
        <w:t>складываемых партийных и профсоюзных структур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9"/>
      </w:r>
      <w:r w:rsidR="00E43B28">
        <w:rPr>
          <w:rFonts w:ascii="Times New Roman" w:hAnsi="Times New Roman" w:cs="Times New Roman"/>
          <w:sz w:val="28"/>
          <w:szCs w:val="28"/>
        </w:rPr>
        <w:t>. О</w:t>
      </w:r>
      <w:r>
        <w:rPr>
          <w:rFonts w:ascii="Times New Roman" w:hAnsi="Times New Roman" w:cs="Times New Roman"/>
          <w:sz w:val="28"/>
          <w:szCs w:val="28"/>
        </w:rPr>
        <w:t>днако у науки есть свидетельства в пользу того, что старые п</w:t>
      </w:r>
      <w:r w:rsidR="00E43B28">
        <w:rPr>
          <w:rFonts w:ascii="Times New Roman" w:hAnsi="Times New Roman" w:cs="Times New Roman"/>
          <w:sz w:val="28"/>
          <w:szCs w:val="28"/>
        </w:rPr>
        <w:t xml:space="preserve">рофсоюзы в странах с институтами, на которые сильно влияли социал-демократические партии во второй половине </w:t>
      </w:r>
      <w:r w:rsidR="00E43B2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E43B28" w:rsidRPr="00E43B28">
        <w:rPr>
          <w:rFonts w:ascii="Times New Roman" w:hAnsi="Times New Roman" w:cs="Times New Roman"/>
          <w:sz w:val="28"/>
          <w:szCs w:val="28"/>
        </w:rPr>
        <w:t xml:space="preserve"> </w:t>
      </w:r>
      <w:r w:rsidR="00E43B28">
        <w:rPr>
          <w:rFonts w:ascii="Times New Roman" w:hAnsi="Times New Roman" w:cs="Times New Roman"/>
          <w:sz w:val="28"/>
          <w:szCs w:val="28"/>
        </w:rPr>
        <w:t>века, как и более бедные страны, имеют значимое влияние на удовлетворённость жизнью в целом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footnoteReference w:id="10"/>
      </w:r>
      <w:r w:rsidR="00E43B28">
        <w:rPr>
          <w:rFonts w:ascii="Times New Roman" w:hAnsi="Times New Roman" w:cs="Times New Roman"/>
          <w:sz w:val="28"/>
          <w:szCs w:val="28"/>
        </w:rPr>
        <w:t>.</w:t>
      </w:r>
      <w:r w:rsidRPr="00A76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C6802" w14:textId="1BBEF30C" w:rsidR="00935545" w:rsidRPr="005042F5" w:rsidRDefault="003F68AD" w:rsidP="009355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общих чертах</w:t>
      </w:r>
      <w:r w:rsidR="00DC792F">
        <w:rPr>
          <w:rFonts w:ascii="Times New Roman" w:hAnsi="Times New Roman" w:cs="Times New Roman"/>
          <w:sz w:val="28"/>
          <w:szCs w:val="28"/>
        </w:rPr>
        <w:t xml:space="preserve"> исследователи сходятся в том, что ю</w:t>
      </w:r>
      <w:r w:rsidR="00935545">
        <w:rPr>
          <w:rFonts w:ascii="Times New Roman" w:hAnsi="Times New Roman" w:cs="Times New Roman"/>
          <w:sz w:val="28"/>
          <w:szCs w:val="28"/>
        </w:rPr>
        <w:t>нионизация увеличивает степень удовлетворённости благосостоянием</w:t>
      </w:r>
      <w:r w:rsidR="00935545">
        <w:rPr>
          <w:rStyle w:val="a6"/>
          <w:rFonts w:ascii="Times New Roman" w:hAnsi="Times New Roman" w:cs="Times New Roman"/>
          <w:sz w:val="28"/>
          <w:szCs w:val="28"/>
        </w:rPr>
        <w:footnoteReference w:id="11"/>
      </w:r>
      <w:r w:rsidR="009355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Тем не менее</w:t>
      </w:r>
      <w:r w:rsidR="00DC792F">
        <w:rPr>
          <w:rFonts w:ascii="Times New Roman" w:hAnsi="Times New Roman" w:cs="Times New Roman"/>
          <w:sz w:val="28"/>
          <w:szCs w:val="28"/>
        </w:rPr>
        <w:t xml:space="preserve"> некоторые и</w:t>
      </w:r>
      <w:r w:rsidR="00935545">
        <w:rPr>
          <w:rFonts w:ascii="Times New Roman" w:hAnsi="Times New Roman" w:cs="Times New Roman"/>
          <w:sz w:val="28"/>
          <w:szCs w:val="28"/>
        </w:rPr>
        <w:t>сследователи показывает неоднозначность влияния профсоюзов на отношение к работе</w:t>
      </w:r>
      <w:r w:rsidR="00935545">
        <w:rPr>
          <w:rStyle w:val="a6"/>
          <w:rFonts w:ascii="Times New Roman" w:hAnsi="Times New Roman" w:cs="Times New Roman"/>
          <w:sz w:val="28"/>
          <w:szCs w:val="28"/>
        </w:rPr>
        <w:footnoteReference w:id="12"/>
      </w:r>
      <w:r w:rsidR="00935545">
        <w:rPr>
          <w:rFonts w:ascii="Times New Roman" w:hAnsi="Times New Roman" w:cs="Times New Roman"/>
          <w:sz w:val="28"/>
          <w:szCs w:val="28"/>
        </w:rPr>
        <w:t xml:space="preserve">. Они приводят в пример США, в которых рабочие, находящиеся в профсоюзе, имеют худшее представление о работе в силу складываемого представления о работе и начальствующих структурах </w:t>
      </w:r>
      <w:r w:rsidR="005042F5">
        <w:rPr>
          <w:rFonts w:ascii="Times New Roman" w:hAnsi="Times New Roman" w:cs="Times New Roman"/>
          <w:sz w:val="28"/>
          <w:szCs w:val="28"/>
        </w:rPr>
        <w:t xml:space="preserve">внутри профсоюза. Несмотря на то, что профсоюзная деятельность и участие может гарантировать рабочим объективно большие привилегии, </w:t>
      </w:r>
      <w:r w:rsidR="00BE136D">
        <w:rPr>
          <w:rFonts w:ascii="Times New Roman" w:hAnsi="Times New Roman" w:cs="Times New Roman"/>
          <w:sz w:val="28"/>
          <w:szCs w:val="28"/>
        </w:rPr>
        <w:t xml:space="preserve">— </w:t>
      </w:r>
      <w:r w:rsidR="005042F5">
        <w:rPr>
          <w:rFonts w:ascii="Times New Roman" w:hAnsi="Times New Roman" w:cs="Times New Roman"/>
          <w:sz w:val="28"/>
          <w:szCs w:val="28"/>
        </w:rPr>
        <w:t xml:space="preserve">зарплаты и права </w:t>
      </w:r>
      <w:r w:rsidR="00BE136D">
        <w:rPr>
          <w:rFonts w:ascii="Times New Roman" w:hAnsi="Times New Roman" w:cs="Times New Roman"/>
          <w:sz w:val="28"/>
          <w:szCs w:val="28"/>
        </w:rPr>
        <w:t xml:space="preserve">— </w:t>
      </w:r>
      <w:r w:rsidR="005042F5">
        <w:rPr>
          <w:rFonts w:ascii="Times New Roman" w:hAnsi="Times New Roman" w:cs="Times New Roman"/>
          <w:sz w:val="28"/>
          <w:szCs w:val="28"/>
        </w:rPr>
        <w:t>чем у других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EBC74" w14:textId="55AD8535" w:rsidR="00A76F03" w:rsidRPr="00A76F03" w:rsidRDefault="00A76F03" w:rsidP="00095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попытки определить, как</w:t>
      </w:r>
      <w:r w:rsidR="00935545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именно факторы разделяют и делают похожими различные страны Европы по отношению к формированию удовлетворенности трудом и жизнью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3"/>
      </w:r>
      <w:r w:rsidRPr="00A76F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Применяя психологическую теорию, разделяющую факторы на входы рабочих ролей и выходы рабочих ролей, авторы получают результаты, которые позволяют разделить на Европу на два крупных субрегиона</w:t>
      </w:r>
      <w:r w:rsidRPr="00A76F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Западную Европу и Восточную Европу. Это разделение основывается на том, что в каждом из них разрыв сопровождается примерно одинаковыми значимыми или незначимыми факторами. Так, влияние пола и образования на удовлетворённость работой оказалось статистически значимым только в Западной Европе. Высокая зарплата является важным представлением </w:t>
      </w:r>
      <w:r w:rsidR="00725D2C">
        <w:rPr>
          <w:rFonts w:ascii="Times New Roman" w:hAnsi="Times New Roman" w:cs="Times New Roman"/>
          <w:sz w:val="28"/>
          <w:szCs w:val="28"/>
        </w:rPr>
        <w:t>для удовлетворённости</w:t>
      </w:r>
      <w:r>
        <w:rPr>
          <w:rFonts w:ascii="Times New Roman" w:hAnsi="Times New Roman" w:cs="Times New Roman"/>
          <w:sz w:val="28"/>
          <w:szCs w:val="28"/>
        </w:rPr>
        <w:t xml:space="preserve"> в жизни особенно в Германии, Франции и Великобритании, чем в других странах даже Западной Европы. </w:t>
      </w:r>
      <w:r w:rsidR="00E065D5">
        <w:rPr>
          <w:rFonts w:ascii="Times New Roman" w:hAnsi="Times New Roman" w:cs="Times New Roman"/>
          <w:sz w:val="28"/>
          <w:szCs w:val="28"/>
        </w:rPr>
        <w:t>Или же и</w:t>
      </w:r>
      <w:r>
        <w:rPr>
          <w:rFonts w:ascii="Times New Roman" w:hAnsi="Times New Roman" w:cs="Times New Roman"/>
          <w:sz w:val="28"/>
          <w:szCs w:val="28"/>
        </w:rPr>
        <w:t xml:space="preserve">зучение новых вещей на рабочем месте </w:t>
      </w:r>
      <w:r w:rsidR="00725D2C">
        <w:rPr>
          <w:rFonts w:ascii="Times New Roman" w:hAnsi="Times New Roman" w:cs="Times New Roman"/>
          <w:sz w:val="28"/>
          <w:szCs w:val="28"/>
        </w:rPr>
        <w:t>— это</w:t>
      </w:r>
      <w:r w:rsidR="00E065D5">
        <w:rPr>
          <w:rFonts w:ascii="Times New Roman" w:hAnsi="Times New Roman" w:cs="Times New Roman"/>
          <w:sz w:val="28"/>
          <w:szCs w:val="28"/>
        </w:rPr>
        <w:t xml:space="preserve"> значительно повышает удовлетворённость и работой, и жизнью, тогда как в Восточной Европе важность нового знания либо оказывается статистически незначимо, либо отрицательно, как в России.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163B77" w14:textId="18D0963C" w:rsidR="00CE2DF1" w:rsidRDefault="00CE2DF1" w:rsidP="006B6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Исследования уровня организованности на большой выборке сотрудников Великобритании показывает неоднозначную взаимосвязь между организационной приверженностью и удовлетворённостью от работы. Результаты показывает, что больший уровень организационной слаженности может оказывает больший уровень удовлетворённостью работой, однако авторы отмечают, что взаимоотношения их переменных может страдать от эндогенности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4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A7F13F" w14:textId="6285FB6C" w:rsidR="001D5CC2" w:rsidRDefault="001D5CC2" w:rsidP="001D5C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формулируем гипотезы наши исследования</w:t>
      </w:r>
      <w:r w:rsidRPr="001D5CC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0B5B37" w14:textId="5D82ECA8" w:rsidR="001D5CC2" w:rsidRDefault="001D5CC2" w:rsidP="001D5C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D5C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рабочих часов и уровень удовлетворённости жизнью имеют положительную взаимосвязь.</w:t>
      </w:r>
    </w:p>
    <w:p w14:paraId="02BDCB31" w14:textId="67E658A9" w:rsidR="00B81AD1" w:rsidRPr="00B81AD1" w:rsidRDefault="00DC792F" w:rsidP="001D5C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стараемся избежать от независимой переменной, которая </w:t>
      </w:r>
      <w:r w:rsidR="00CB735A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суждением</w:t>
      </w:r>
      <w:r w:rsidR="00CB735A">
        <w:rPr>
          <w:rFonts w:ascii="Times New Roman" w:hAnsi="Times New Roman" w:cs="Times New Roman"/>
          <w:sz w:val="28"/>
          <w:szCs w:val="28"/>
        </w:rPr>
        <w:t xml:space="preserve"> или выражением мнения</w:t>
      </w:r>
      <w:r>
        <w:rPr>
          <w:rFonts w:ascii="Times New Roman" w:hAnsi="Times New Roman" w:cs="Times New Roman"/>
          <w:sz w:val="28"/>
          <w:szCs w:val="28"/>
        </w:rPr>
        <w:t xml:space="preserve"> исследуемого. Наша задача найти наблюдаемые предикторы для </w:t>
      </w:r>
      <w:r w:rsidR="00CB735A">
        <w:rPr>
          <w:rFonts w:ascii="Times New Roman" w:hAnsi="Times New Roman" w:cs="Times New Roman"/>
          <w:sz w:val="28"/>
          <w:szCs w:val="28"/>
        </w:rPr>
        <w:t>выявления</w:t>
      </w:r>
      <w:r>
        <w:rPr>
          <w:rFonts w:ascii="Times New Roman" w:hAnsi="Times New Roman" w:cs="Times New Roman"/>
          <w:sz w:val="28"/>
          <w:szCs w:val="28"/>
        </w:rPr>
        <w:t xml:space="preserve"> уже определённой сознанием субъекта зависимой переменной. А также б</w:t>
      </w:r>
      <w:r w:rsidR="00B81AD1">
        <w:rPr>
          <w:rFonts w:ascii="Times New Roman" w:hAnsi="Times New Roman" w:cs="Times New Roman"/>
          <w:sz w:val="28"/>
          <w:szCs w:val="28"/>
        </w:rPr>
        <w:t>ыло бы неправильно не принимать во внимание страновые характеристики, которые отвечают за организацию, защиту и выражение интересов рабочих. Предыдущая разработка в литературе и логика работы приводит к следующей гипотезе</w:t>
      </w:r>
      <w:r w:rsidR="00B81AD1" w:rsidRPr="00B81AD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4AE3DE" w14:textId="65CD3111" w:rsidR="00B81AD1" w:rsidRPr="00B81AD1" w:rsidRDefault="001D5CC2" w:rsidP="00272C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5CC2">
        <w:rPr>
          <w:rFonts w:ascii="Times New Roman" w:hAnsi="Times New Roman" w:cs="Times New Roman"/>
          <w:sz w:val="28"/>
          <w:szCs w:val="28"/>
        </w:rPr>
        <w:t>2</w:t>
      </w:r>
      <w:r w:rsidR="00B81A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5CC2">
        <w:rPr>
          <w:rFonts w:ascii="Times New Roman" w:hAnsi="Times New Roman" w:cs="Times New Roman"/>
          <w:sz w:val="28"/>
          <w:szCs w:val="28"/>
        </w:rPr>
        <w:t xml:space="preserve">: </w:t>
      </w:r>
      <w:r w:rsidR="00B81AD1">
        <w:rPr>
          <w:rFonts w:ascii="Times New Roman" w:hAnsi="Times New Roman" w:cs="Times New Roman"/>
          <w:sz w:val="28"/>
          <w:szCs w:val="28"/>
        </w:rPr>
        <w:t>Граждане страны с большей степенью юнионизации более удовлетворены своей жизнью в целом.</w:t>
      </w:r>
    </w:p>
    <w:p w14:paraId="12EEAD73" w14:textId="36D7172C" w:rsidR="001D5CC2" w:rsidRDefault="00B81AD1" w:rsidP="001D5C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50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50B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0BC">
        <w:rPr>
          <w:rFonts w:ascii="Times New Roman" w:hAnsi="Times New Roman" w:cs="Times New Roman"/>
          <w:sz w:val="28"/>
          <w:szCs w:val="28"/>
        </w:rPr>
        <w:t xml:space="preserve">При увеличении юнионизации взаимосвязь удовлетворённостью жизнью в целом и количеством рабочих часов </w:t>
      </w:r>
      <w:r w:rsidR="00272C49">
        <w:rPr>
          <w:rFonts w:ascii="Times New Roman" w:hAnsi="Times New Roman" w:cs="Times New Roman"/>
          <w:sz w:val="28"/>
          <w:szCs w:val="28"/>
        </w:rPr>
        <w:t>увеличивается.</w:t>
      </w:r>
    </w:p>
    <w:p w14:paraId="0C2A9BD1" w14:textId="5061AC27" w:rsidR="001D5CC2" w:rsidRDefault="00272C49" w:rsidP="001D5C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проверк</w:t>
      </w:r>
      <w:r w:rsidR="00D428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данной гипотезы необходимо выяснить, есть ли вообще какая-то связь между переменной индивидуального уровня и </w:t>
      </w:r>
      <w:r w:rsidR="00CB735A">
        <w:rPr>
          <w:rFonts w:ascii="Times New Roman" w:hAnsi="Times New Roman" w:cs="Times New Roman"/>
          <w:sz w:val="28"/>
          <w:szCs w:val="28"/>
        </w:rPr>
        <w:t>групповой вариацией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62637" w14:textId="77777777" w:rsidR="00E6581D" w:rsidRPr="001D5CC2" w:rsidRDefault="00E6581D" w:rsidP="001D5C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73E79" w14:textId="6059954B" w:rsidR="00A53925" w:rsidRPr="00E6581D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Данные и методы</w:t>
      </w:r>
    </w:p>
    <w:p w14:paraId="08DC9F4B" w14:textId="36914FFC" w:rsidR="009C7EEC" w:rsidRDefault="00314EAB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были выбран</w:t>
      </w:r>
      <w:r w:rsidR="009C7EE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European</w:t>
      </w:r>
      <w:r w:rsidRPr="00314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314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Survey</w:t>
      </w:r>
      <w:r w:rsidRPr="00314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314EAB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, собранные в 2018 г.</w:t>
      </w:r>
      <w:r w:rsidR="00854EC7">
        <w:rPr>
          <w:rStyle w:val="a6"/>
          <w:rFonts w:ascii="Times New Roman" w:hAnsi="Times New Roman" w:cs="Times New Roman"/>
          <w:sz w:val="28"/>
          <w:szCs w:val="28"/>
        </w:rPr>
        <w:footnoteReference w:id="1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35A">
        <w:rPr>
          <w:rFonts w:ascii="Times New Roman" w:hAnsi="Times New Roman" w:cs="Times New Roman"/>
          <w:sz w:val="28"/>
          <w:szCs w:val="28"/>
        </w:rPr>
        <w:t>Изучаемые</w:t>
      </w:r>
      <w:r w:rsidR="00386380">
        <w:rPr>
          <w:rFonts w:ascii="Times New Roman" w:hAnsi="Times New Roman" w:cs="Times New Roman"/>
          <w:sz w:val="28"/>
          <w:szCs w:val="28"/>
        </w:rPr>
        <w:t xml:space="preserve"> данные являются результатом интервью 46 276 респондентов</w:t>
      </w:r>
      <w:r w:rsidR="009C7EEC">
        <w:rPr>
          <w:rFonts w:ascii="Times New Roman" w:hAnsi="Times New Roman" w:cs="Times New Roman"/>
          <w:sz w:val="28"/>
          <w:szCs w:val="28"/>
        </w:rPr>
        <w:t xml:space="preserve"> из</w:t>
      </w:r>
      <w:r w:rsidR="00386380">
        <w:rPr>
          <w:rFonts w:ascii="Times New Roman" w:hAnsi="Times New Roman" w:cs="Times New Roman"/>
          <w:sz w:val="28"/>
          <w:szCs w:val="28"/>
        </w:rPr>
        <w:t xml:space="preserve"> 26</w:t>
      </w:r>
      <w:r w:rsidR="009C7EEC">
        <w:rPr>
          <w:rFonts w:ascii="Times New Roman" w:hAnsi="Times New Roman" w:cs="Times New Roman"/>
          <w:sz w:val="28"/>
          <w:szCs w:val="28"/>
        </w:rPr>
        <w:t xml:space="preserve"> </w:t>
      </w:r>
      <w:r w:rsidR="00386380">
        <w:rPr>
          <w:rFonts w:ascii="Times New Roman" w:hAnsi="Times New Roman" w:cs="Times New Roman"/>
          <w:sz w:val="28"/>
          <w:szCs w:val="28"/>
        </w:rPr>
        <w:t>европейских стран</w:t>
      </w:r>
      <w:r w:rsidR="009C7EEC">
        <w:rPr>
          <w:rFonts w:ascii="Times New Roman" w:hAnsi="Times New Roman" w:cs="Times New Roman"/>
          <w:sz w:val="28"/>
          <w:szCs w:val="28"/>
        </w:rPr>
        <w:t xml:space="preserve">, отличающихся ранее теоретически обоснованными характеристиками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9C7EEC">
        <w:rPr>
          <w:rFonts w:ascii="Times New Roman" w:hAnsi="Times New Roman" w:cs="Times New Roman"/>
          <w:sz w:val="28"/>
          <w:szCs w:val="28"/>
        </w:rPr>
        <w:t xml:space="preserve"> развитостью трудового права, юнионизации, институтов социального благосостояния, пост-коммунистического прошлого</w:t>
      </w:r>
      <w:r w:rsidR="00386380">
        <w:rPr>
          <w:rFonts w:ascii="Times New Roman" w:hAnsi="Times New Roman" w:cs="Times New Roman"/>
          <w:sz w:val="28"/>
          <w:szCs w:val="28"/>
        </w:rPr>
        <w:t xml:space="preserve">. </w:t>
      </w:r>
      <w:r w:rsidR="004652DD">
        <w:rPr>
          <w:rFonts w:ascii="Times New Roman" w:hAnsi="Times New Roman" w:cs="Times New Roman"/>
          <w:sz w:val="28"/>
          <w:szCs w:val="28"/>
        </w:rPr>
        <w:t xml:space="preserve">Также мы использовали данные </w:t>
      </w:r>
      <w:r w:rsidR="00854EC7">
        <w:rPr>
          <w:rFonts w:ascii="Times New Roman" w:hAnsi="Times New Roman" w:cs="Times New Roman"/>
          <w:sz w:val="28"/>
          <w:szCs w:val="28"/>
        </w:rPr>
        <w:t>ОЭСР по уровню вовлечённости рабочих в профсоюзы</w:t>
      </w:r>
      <w:r w:rsidR="0065625C">
        <w:rPr>
          <w:rFonts w:ascii="Times New Roman" w:hAnsi="Times New Roman" w:cs="Times New Roman"/>
          <w:sz w:val="28"/>
          <w:szCs w:val="28"/>
        </w:rPr>
        <w:t xml:space="preserve"> за 2018 г</w:t>
      </w:r>
      <w:r w:rsidR="005E2C10">
        <w:rPr>
          <w:rStyle w:val="a6"/>
          <w:rFonts w:ascii="Times New Roman" w:hAnsi="Times New Roman" w:cs="Times New Roman"/>
          <w:sz w:val="28"/>
          <w:szCs w:val="28"/>
        </w:rPr>
        <w:footnoteReference w:id="16"/>
      </w:r>
      <w:r w:rsidR="00854EC7">
        <w:rPr>
          <w:rFonts w:ascii="Times New Roman" w:hAnsi="Times New Roman" w:cs="Times New Roman"/>
          <w:sz w:val="28"/>
          <w:szCs w:val="28"/>
        </w:rPr>
        <w:t xml:space="preserve">. </w:t>
      </w:r>
      <w:r w:rsidR="00386380">
        <w:rPr>
          <w:rFonts w:ascii="Times New Roman" w:hAnsi="Times New Roman" w:cs="Times New Roman"/>
          <w:sz w:val="28"/>
          <w:szCs w:val="28"/>
        </w:rPr>
        <w:t>После обработки данных</w:t>
      </w:r>
      <w:r w:rsidR="009C7EEC">
        <w:rPr>
          <w:rFonts w:ascii="Times New Roman" w:hAnsi="Times New Roman" w:cs="Times New Roman"/>
          <w:sz w:val="28"/>
          <w:szCs w:val="28"/>
        </w:rPr>
        <w:t xml:space="preserve"> и удаления пропущенных ответов в рабочем сете</w:t>
      </w:r>
      <w:r w:rsidR="00386380">
        <w:rPr>
          <w:rFonts w:ascii="Times New Roman" w:hAnsi="Times New Roman" w:cs="Times New Roman"/>
          <w:sz w:val="28"/>
          <w:szCs w:val="28"/>
        </w:rPr>
        <w:t xml:space="preserve"> осталось </w:t>
      </w:r>
      <w:r w:rsidR="0052244B" w:rsidRPr="0052244B">
        <w:rPr>
          <w:rFonts w:ascii="Times New Roman" w:hAnsi="Times New Roman" w:cs="Times New Roman"/>
          <w:sz w:val="28"/>
          <w:szCs w:val="28"/>
        </w:rPr>
        <w:t>34 436</w:t>
      </w:r>
      <w:r w:rsidR="00386380">
        <w:rPr>
          <w:rFonts w:ascii="Times New Roman" w:hAnsi="Times New Roman" w:cs="Times New Roman"/>
          <w:sz w:val="28"/>
          <w:szCs w:val="28"/>
        </w:rPr>
        <w:t xml:space="preserve"> валидных </w:t>
      </w:r>
      <w:r w:rsidR="0052244B">
        <w:rPr>
          <w:rFonts w:ascii="Times New Roman" w:hAnsi="Times New Roman" w:cs="Times New Roman"/>
          <w:sz w:val="28"/>
          <w:szCs w:val="28"/>
        </w:rPr>
        <w:t>наблюдения</w:t>
      </w:r>
      <w:r w:rsidR="00386380">
        <w:rPr>
          <w:rFonts w:ascii="Times New Roman" w:hAnsi="Times New Roman" w:cs="Times New Roman"/>
          <w:sz w:val="28"/>
          <w:szCs w:val="28"/>
        </w:rPr>
        <w:t>.</w:t>
      </w:r>
    </w:p>
    <w:p w14:paraId="02EB2871" w14:textId="228B14D7" w:rsidR="00CC19A6" w:rsidRDefault="009C7EEC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зависимой </w:t>
      </w:r>
      <w:r w:rsidR="00572EDD">
        <w:rPr>
          <w:rFonts w:ascii="Times New Roman" w:hAnsi="Times New Roman" w:cs="Times New Roman"/>
          <w:sz w:val="28"/>
          <w:szCs w:val="28"/>
        </w:rPr>
        <w:t>был</w:t>
      </w:r>
      <w:r w:rsidR="00CC19A6">
        <w:rPr>
          <w:rFonts w:ascii="Times New Roman" w:hAnsi="Times New Roman" w:cs="Times New Roman"/>
          <w:sz w:val="28"/>
          <w:szCs w:val="28"/>
        </w:rPr>
        <w:t>а выбрана переменная, описывающая удовлетворённость от жизни в целом (</w:t>
      </w:r>
      <w:r w:rsidR="00CC19A6">
        <w:rPr>
          <w:rFonts w:ascii="Times New Roman" w:hAnsi="Times New Roman" w:cs="Times New Roman"/>
          <w:sz w:val="28"/>
          <w:szCs w:val="28"/>
          <w:lang w:val="en-US"/>
        </w:rPr>
        <w:t>stflife</w:t>
      </w:r>
      <w:r w:rsidR="00CC19A6">
        <w:rPr>
          <w:rFonts w:ascii="Times New Roman" w:hAnsi="Times New Roman" w:cs="Times New Roman"/>
          <w:sz w:val="28"/>
          <w:szCs w:val="28"/>
        </w:rPr>
        <w:t>). Переменная может принимать значения от 0, где это полная неудовлетворённость, до 10, которая показывают полную удовлетворённость. Выбор переменной обусловлен целью исследования, которое стремится выявить личное восприятие респондента своей удовлетворённости</w:t>
      </w:r>
      <w:r w:rsidR="00CB735A">
        <w:rPr>
          <w:rFonts w:ascii="Times New Roman" w:hAnsi="Times New Roman" w:cs="Times New Roman"/>
          <w:sz w:val="28"/>
          <w:szCs w:val="28"/>
        </w:rPr>
        <w:t xml:space="preserve"> от жизни в целом</w:t>
      </w:r>
      <w:r w:rsidR="00CC19A6">
        <w:rPr>
          <w:rFonts w:ascii="Times New Roman" w:hAnsi="Times New Roman" w:cs="Times New Roman"/>
          <w:sz w:val="28"/>
          <w:szCs w:val="28"/>
        </w:rPr>
        <w:t>.</w:t>
      </w:r>
      <w:r w:rsidR="0060122A">
        <w:rPr>
          <w:rFonts w:ascii="Times New Roman" w:hAnsi="Times New Roman" w:cs="Times New Roman"/>
          <w:sz w:val="28"/>
          <w:szCs w:val="28"/>
        </w:rPr>
        <w:t xml:space="preserve"> Также мы предполагаем, что эта зависимая переменная будет экзогенна к ключевым </w:t>
      </w:r>
      <w:r w:rsidR="00CB735A">
        <w:rPr>
          <w:rFonts w:ascii="Times New Roman" w:hAnsi="Times New Roman" w:cs="Times New Roman"/>
          <w:sz w:val="28"/>
          <w:szCs w:val="28"/>
        </w:rPr>
        <w:t xml:space="preserve">и контрольным переменным </w:t>
      </w:r>
      <w:r w:rsidR="0060122A">
        <w:rPr>
          <w:rFonts w:ascii="Times New Roman" w:hAnsi="Times New Roman" w:cs="Times New Roman"/>
          <w:sz w:val="28"/>
          <w:szCs w:val="28"/>
        </w:rPr>
        <w:t>нашей модели.</w:t>
      </w:r>
    </w:p>
    <w:p w14:paraId="67C150CF" w14:textId="061F02FE" w:rsidR="00314EAB" w:rsidRDefault="00CC19A6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Независимыми переменн</w:t>
      </w:r>
      <w:r w:rsidR="00776EA8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 xml:space="preserve"> выступают</w:t>
      </w:r>
      <w:r w:rsidR="00CB735A">
        <w:rPr>
          <w:rFonts w:ascii="Times New Roman" w:hAnsi="Times New Roman" w:cs="Times New Roman"/>
          <w:sz w:val="28"/>
          <w:szCs w:val="28"/>
        </w:rPr>
        <w:t xml:space="preserve"> количество рабочих часов без включения количества часов переработок (</w:t>
      </w:r>
      <w:r w:rsidR="00CB735A">
        <w:rPr>
          <w:rFonts w:ascii="Times New Roman" w:hAnsi="Times New Roman" w:cs="Times New Roman"/>
          <w:sz w:val="28"/>
          <w:szCs w:val="28"/>
          <w:lang w:val="en-US"/>
        </w:rPr>
        <w:t>wkhct</w:t>
      </w:r>
      <w:r w:rsidR="00CB735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2DF1">
        <w:rPr>
          <w:rFonts w:ascii="Times New Roman" w:hAnsi="Times New Roman" w:cs="Times New Roman"/>
          <w:sz w:val="28"/>
          <w:szCs w:val="28"/>
        </w:rPr>
        <w:t>количество рабочих часов с включённым количеством</w:t>
      </w:r>
      <w:r w:rsidR="00776EA8">
        <w:rPr>
          <w:rFonts w:ascii="Times New Roman" w:hAnsi="Times New Roman" w:cs="Times New Roman"/>
          <w:sz w:val="28"/>
          <w:szCs w:val="28"/>
        </w:rPr>
        <w:t xml:space="preserve"> оплачиваемых и неоплачиваемых</w:t>
      </w:r>
      <w:r w:rsidR="00CE2DF1">
        <w:rPr>
          <w:rFonts w:ascii="Times New Roman" w:hAnsi="Times New Roman" w:cs="Times New Roman"/>
          <w:sz w:val="28"/>
          <w:szCs w:val="28"/>
        </w:rPr>
        <w:t xml:space="preserve"> переработок (</w:t>
      </w:r>
      <w:r w:rsidR="00776EA8">
        <w:rPr>
          <w:rFonts w:ascii="Times New Roman" w:hAnsi="Times New Roman" w:cs="Times New Roman"/>
          <w:sz w:val="28"/>
          <w:szCs w:val="28"/>
          <w:lang w:val="en-US"/>
        </w:rPr>
        <w:t>whtot</w:t>
      </w:r>
      <w:r w:rsidR="00CE2DF1">
        <w:rPr>
          <w:rFonts w:ascii="Times New Roman" w:hAnsi="Times New Roman" w:cs="Times New Roman"/>
          <w:sz w:val="28"/>
          <w:szCs w:val="28"/>
        </w:rPr>
        <w:t>)</w:t>
      </w:r>
      <w:r w:rsidR="00776EA8" w:rsidRPr="00776EA8">
        <w:rPr>
          <w:rFonts w:ascii="Times New Roman" w:hAnsi="Times New Roman" w:cs="Times New Roman"/>
          <w:sz w:val="28"/>
          <w:szCs w:val="28"/>
        </w:rPr>
        <w:t xml:space="preserve"> </w:t>
      </w:r>
      <w:r w:rsidR="00776EA8">
        <w:rPr>
          <w:rFonts w:ascii="Times New Roman" w:hAnsi="Times New Roman" w:cs="Times New Roman"/>
          <w:sz w:val="28"/>
          <w:szCs w:val="28"/>
        </w:rPr>
        <w:t>и уровнем юнионизации официально зарегистрированных рабочих (</w:t>
      </w:r>
      <w:r w:rsidR="00776EA8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="00776EA8">
        <w:rPr>
          <w:rFonts w:ascii="Times New Roman" w:hAnsi="Times New Roman" w:cs="Times New Roman"/>
          <w:sz w:val="28"/>
          <w:szCs w:val="28"/>
        </w:rPr>
        <w:t>)</w:t>
      </w:r>
      <w:r w:rsidR="00CE2DF1">
        <w:rPr>
          <w:rFonts w:ascii="Times New Roman" w:hAnsi="Times New Roman" w:cs="Times New Roman"/>
          <w:sz w:val="28"/>
          <w:szCs w:val="28"/>
        </w:rPr>
        <w:t xml:space="preserve">. </w:t>
      </w:r>
      <w:r w:rsidR="00CB735A" w:rsidRPr="00CB735A">
        <w:rPr>
          <w:rFonts w:ascii="Times New Roman" w:hAnsi="Times New Roman" w:cs="Times New Roman"/>
          <w:sz w:val="28"/>
          <w:szCs w:val="28"/>
        </w:rPr>
        <w:t xml:space="preserve"> </w:t>
      </w:r>
      <w:r w:rsidR="00CB735A">
        <w:rPr>
          <w:rFonts w:ascii="Times New Roman" w:hAnsi="Times New Roman" w:cs="Times New Roman"/>
          <w:sz w:val="28"/>
          <w:szCs w:val="28"/>
        </w:rPr>
        <w:t>Обе</w:t>
      </w:r>
      <w:r w:rsidR="00776EA8">
        <w:rPr>
          <w:rFonts w:ascii="Times New Roman" w:hAnsi="Times New Roman" w:cs="Times New Roman"/>
          <w:sz w:val="28"/>
          <w:szCs w:val="28"/>
        </w:rPr>
        <w:t xml:space="preserve"> пер</w:t>
      </w:r>
      <w:r w:rsidR="00CB735A">
        <w:rPr>
          <w:rFonts w:ascii="Times New Roman" w:hAnsi="Times New Roman" w:cs="Times New Roman"/>
          <w:sz w:val="28"/>
          <w:szCs w:val="28"/>
        </w:rPr>
        <w:t>еменные первого</w:t>
      </w:r>
      <w:r w:rsidR="00776EA8">
        <w:rPr>
          <w:rFonts w:ascii="Times New Roman" w:hAnsi="Times New Roman" w:cs="Times New Roman"/>
          <w:sz w:val="28"/>
          <w:szCs w:val="28"/>
        </w:rPr>
        <w:t xml:space="preserve"> уровня</w:t>
      </w:r>
      <w:r w:rsidR="00CE2DF1">
        <w:rPr>
          <w:rFonts w:ascii="Times New Roman" w:hAnsi="Times New Roman" w:cs="Times New Roman"/>
          <w:sz w:val="28"/>
          <w:szCs w:val="28"/>
        </w:rPr>
        <w:t xml:space="preserve"> </w:t>
      </w:r>
      <w:r w:rsidR="00E852E6">
        <w:rPr>
          <w:rFonts w:ascii="Times New Roman" w:hAnsi="Times New Roman" w:cs="Times New Roman"/>
          <w:sz w:val="28"/>
          <w:szCs w:val="28"/>
        </w:rPr>
        <w:t>представля</w:t>
      </w:r>
      <w:r w:rsidR="00CB735A">
        <w:rPr>
          <w:rFonts w:ascii="Times New Roman" w:hAnsi="Times New Roman" w:cs="Times New Roman"/>
          <w:sz w:val="28"/>
          <w:szCs w:val="28"/>
        </w:rPr>
        <w:t>ю</w:t>
      </w:r>
      <w:r w:rsidR="00E852E6">
        <w:rPr>
          <w:rFonts w:ascii="Times New Roman" w:hAnsi="Times New Roman" w:cs="Times New Roman"/>
          <w:sz w:val="28"/>
          <w:szCs w:val="28"/>
        </w:rPr>
        <w:t>т</w:t>
      </w:r>
      <w:r w:rsidR="00776EA8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E852E6">
        <w:rPr>
          <w:rFonts w:ascii="Times New Roman" w:hAnsi="Times New Roman" w:cs="Times New Roman"/>
          <w:sz w:val="28"/>
          <w:szCs w:val="28"/>
        </w:rPr>
        <w:t xml:space="preserve"> количество рабочих часов в неделю на шкале от 0 до 168, где 0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E852E6">
        <w:rPr>
          <w:rFonts w:ascii="Times New Roman" w:hAnsi="Times New Roman" w:cs="Times New Roman"/>
          <w:sz w:val="28"/>
          <w:szCs w:val="28"/>
        </w:rPr>
        <w:t xml:space="preserve"> отсутствие часов, 168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E852E6">
        <w:rPr>
          <w:rFonts w:ascii="Times New Roman" w:hAnsi="Times New Roman" w:cs="Times New Roman"/>
          <w:sz w:val="28"/>
          <w:szCs w:val="28"/>
        </w:rPr>
        <w:t xml:space="preserve"> максимальное количество часов в неделю (</w:t>
      </w:r>
      <w:r w:rsidR="00776EA8">
        <w:rPr>
          <w:rFonts w:ascii="Times New Roman" w:hAnsi="Times New Roman" w:cs="Times New Roman"/>
          <w:sz w:val="28"/>
          <w:szCs w:val="28"/>
        </w:rPr>
        <w:t xml:space="preserve">высокое количество часов </w:t>
      </w:r>
      <w:r w:rsidR="00776EA8">
        <w:rPr>
          <w:rFonts w:ascii="Times New Roman" w:hAnsi="Times New Roman" w:cs="Times New Roman"/>
          <w:sz w:val="28"/>
          <w:szCs w:val="28"/>
        </w:rPr>
        <w:lastRenderedPageBreak/>
        <w:t>связано с тем, что вопрос задавался респондентам, и они могли давать как преувеличенную, так и некорректную информацию</w:t>
      </w:r>
      <w:r w:rsidR="00E852E6">
        <w:rPr>
          <w:rFonts w:ascii="Times New Roman" w:hAnsi="Times New Roman" w:cs="Times New Roman"/>
          <w:sz w:val="28"/>
          <w:szCs w:val="28"/>
        </w:rPr>
        <w:t>).</w:t>
      </w:r>
      <w:r w:rsidR="00CB735A" w:rsidRPr="00CB735A">
        <w:rPr>
          <w:rFonts w:ascii="Times New Roman" w:hAnsi="Times New Roman" w:cs="Times New Roman"/>
          <w:sz w:val="28"/>
          <w:szCs w:val="28"/>
        </w:rPr>
        <w:t xml:space="preserve"> </w:t>
      </w:r>
      <w:r w:rsidR="00CB735A">
        <w:rPr>
          <w:rFonts w:ascii="Times New Roman" w:hAnsi="Times New Roman" w:cs="Times New Roman"/>
          <w:sz w:val="28"/>
          <w:szCs w:val="28"/>
        </w:rPr>
        <w:t xml:space="preserve">Схожие переменные </w:t>
      </w:r>
      <w:r w:rsidR="00CB735A">
        <w:rPr>
          <w:rFonts w:ascii="Times New Roman" w:hAnsi="Times New Roman" w:cs="Times New Roman"/>
          <w:sz w:val="28"/>
          <w:szCs w:val="28"/>
          <w:lang w:val="en-US"/>
        </w:rPr>
        <w:t>wkhct</w:t>
      </w:r>
      <w:r w:rsidR="00CB735A" w:rsidRPr="00CB735A">
        <w:rPr>
          <w:rFonts w:ascii="Times New Roman" w:hAnsi="Times New Roman" w:cs="Times New Roman"/>
          <w:sz w:val="28"/>
          <w:szCs w:val="28"/>
        </w:rPr>
        <w:t xml:space="preserve"> </w:t>
      </w:r>
      <w:r w:rsidR="00CB735A">
        <w:rPr>
          <w:rFonts w:ascii="Times New Roman" w:hAnsi="Times New Roman" w:cs="Times New Roman"/>
          <w:sz w:val="28"/>
          <w:szCs w:val="28"/>
        </w:rPr>
        <w:t xml:space="preserve">и </w:t>
      </w:r>
      <w:r w:rsidR="00CB735A">
        <w:rPr>
          <w:rFonts w:ascii="Times New Roman" w:hAnsi="Times New Roman" w:cs="Times New Roman"/>
          <w:sz w:val="28"/>
          <w:szCs w:val="28"/>
          <w:lang w:val="en-US"/>
        </w:rPr>
        <w:t>whtot</w:t>
      </w:r>
      <w:r w:rsidR="00CB735A" w:rsidRPr="00CB735A">
        <w:rPr>
          <w:rFonts w:ascii="Times New Roman" w:hAnsi="Times New Roman" w:cs="Times New Roman"/>
          <w:sz w:val="28"/>
          <w:szCs w:val="28"/>
        </w:rPr>
        <w:t xml:space="preserve"> </w:t>
      </w:r>
      <w:r w:rsidR="00CB735A">
        <w:rPr>
          <w:rFonts w:ascii="Times New Roman" w:hAnsi="Times New Roman" w:cs="Times New Roman"/>
          <w:sz w:val="28"/>
          <w:szCs w:val="28"/>
        </w:rPr>
        <w:t xml:space="preserve">мы не используем в одной модели, но с помощью второй переменной мы будем проверять результаты регрессионной модели, оценённой на </w:t>
      </w:r>
      <w:r w:rsidR="00CB735A">
        <w:rPr>
          <w:rFonts w:ascii="Times New Roman" w:hAnsi="Times New Roman" w:cs="Times New Roman"/>
          <w:sz w:val="28"/>
          <w:szCs w:val="28"/>
          <w:lang w:val="en-US"/>
        </w:rPr>
        <w:t>wkhct</w:t>
      </w:r>
      <w:r w:rsidR="00CB735A" w:rsidRPr="00CB735A">
        <w:rPr>
          <w:rFonts w:ascii="Times New Roman" w:hAnsi="Times New Roman" w:cs="Times New Roman"/>
          <w:sz w:val="28"/>
          <w:szCs w:val="28"/>
        </w:rPr>
        <w:t>.</w:t>
      </w:r>
      <w:r w:rsidR="00E852E6">
        <w:rPr>
          <w:rFonts w:ascii="Times New Roman" w:hAnsi="Times New Roman" w:cs="Times New Roman"/>
          <w:sz w:val="28"/>
          <w:szCs w:val="28"/>
        </w:rPr>
        <w:t xml:space="preserve"> </w:t>
      </w:r>
      <w:r w:rsidR="00CE2DF1">
        <w:rPr>
          <w:rFonts w:ascii="Times New Roman" w:hAnsi="Times New Roman" w:cs="Times New Roman"/>
          <w:sz w:val="28"/>
          <w:szCs w:val="28"/>
        </w:rPr>
        <w:t>Выбор эт</w:t>
      </w:r>
      <w:r w:rsidR="00CB735A">
        <w:rPr>
          <w:rFonts w:ascii="Times New Roman" w:hAnsi="Times New Roman" w:cs="Times New Roman"/>
          <w:sz w:val="28"/>
          <w:szCs w:val="28"/>
        </w:rPr>
        <w:t>их</w:t>
      </w:r>
      <w:r w:rsidR="00CE2DF1">
        <w:rPr>
          <w:rFonts w:ascii="Times New Roman" w:hAnsi="Times New Roman" w:cs="Times New Roman"/>
          <w:sz w:val="28"/>
          <w:szCs w:val="28"/>
        </w:rPr>
        <w:t xml:space="preserve"> </w:t>
      </w:r>
      <w:r w:rsidR="00776EA8">
        <w:rPr>
          <w:rFonts w:ascii="Times New Roman" w:hAnsi="Times New Roman" w:cs="Times New Roman"/>
          <w:sz w:val="28"/>
          <w:szCs w:val="28"/>
        </w:rPr>
        <w:t>независим</w:t>
      </w:r>
      <w:r w:rsidR="00CB735A">
        <w:rPr>
          <w:rFonts w:ascii="Times New Roman" w:hAnsi="Times New Roman" w:cs="Times New Roman"/>
          <w:sz w:val="28"/>
          <w:szCs w:val="28"/>
        </w:rPr>
        <w:t>ых</w:t>
      </w:r>
      <w:r w:rsidR="00CE2DF1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CB735A">
        <w:rPr>
          <w:rFonts w:ascii="Times New Roman" w:hAnsi="Times New Roman" w:cs="Times New Roman"/>
          <w:sz w:val="28"/>
          <w:szCs w:val="28"/>
        </w:rPr>
        <w:t>ых</w:t>
      </w:r>
      <w:r w:rsidR="00CE2DF1">
        <w:rPr>
          <w:rFonts w:ascii="Times New Roman" w:hAnsi="Times New Roman" w:cs="Times New Roman"/>
          <w:sz w:val="28"/>
          <w:szCs w:val="28"/>
        </w:rPr>
        <w:t xml:space="preserve"> обусловлен тем, что в работе предпринимается попытка выявить объективные основания, которые влияют на удовлетворённость жизнью, </w:t>
      </w:r>
      <w:r w:rsidR="00776EA8">
        <w:rPr>
          <w:rFonts w:ascii="Times New Roman" w:hAnsi="Times New Roman" w:cs="Times New Roman"/>
          <w:sz w:val="28"/>
          <w:szCs w:val="28"/>
        </w:rPr>
        <w:t>анализ которых был проведён уже ранее в работе. К</w:t>
      </w:r>
      <w:r w:rsidR="00CE2DF1">
        <w:rPr>
          <w:rFonts w:ascii="Times New Roman" w:hAnsi="Times New Roman" w:cs="Times New Roman"/>
          <w:sz w:val="28"/>
          <w:szCs w:val="28"/>
        </w:rPr>
        <w:t xml:space="preserve"> тому же это более простой аналитически концепт, с которым проще работать, меняя конфигурации в моделях с другими переменными.</w:t>
      </w:r>
      <w:r w:rsidR="0060122A">
        <w:rPr>
          <w:rFonts w:ascii="Times New Roman" w:hAnsi="Times New Roman" w:cs="Times New Roman"/>
          <w:sz w:val="28"/>
          <w:szCs w:val="28"/>
        </w:rPr>
        <w:t xml:space="preserve"> Эт</w:t>
      </w:r>
      <w:r w:rsidR="00CB735A">
        <w:rPr>
          <w:rFonts w:ascii="Times New Roman" w:hAnsi="Times New Roman" w:cs="Times New Roman"/>
          <w:sz w:val="28"/>
          <w:szCs w:val="28"/>
        </w:rPr>
        <w:t>и</w:t>
      </w:r>
      <w:r w:rsidR="0060122A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CB735A">
        <w:rPr>
          <w:rFonts w:ascii="Times New Roman" w:hAnsi="Times New Roman" w:cs="Times New Roman"/>
          <w:sz w:val="28"/>
          <w:szCs w:val="28"/>
        </w:rPr>
        <w:t>ые</w:t>
      </w:r>
      <w:r w:rsidR="0060122A">
        <w:rPr>
          <w:rFonts w:ascii="Times New Roman" w:hAnsi="Times New Roman" w:cs="Times New Roman"/>
          <w:sz w:val="28"/>
          <w:szCs w:val="28"/>
        </w:rPr>
        <w:t xml:space="preserve"> отвеча</w:t>
      </w:r>
      <w:r w:rsidR="00CB735A">
        <w:rPr>
          <w:rFonts w:ascii="Times New Roman" w:hAnsi="Times New Roman" w:cs="Times New Roman"/>
          <w:sz w:val="28"/>
          <w:szCs w:val="28"/>
        </w:rPr>
        <w:t>ю</w:t>
      </w:r>
      <w:r w:rsidR="0060122A">
        <w:rPr>
          <w:rFonts w:ascii="Times New Roman" w:hAnsi="Times New Roman" w:cs="Times New Roman"/>
          <w:sz w:val="28"/>
          <w:szCs w:val="28"/>
        </w:rPr>
        <w:t>т за первую гипотезу работы.</w:t>
      </w:r>
    </w:p>
    <w:p w14:paraId="6BA34C53" w14:textId="10B99707" w:rsidR="0060122A" w:rsidRPr="00E066D1" w:rsidRDefault="0060122A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Предиктором на втором уровне </w:t>
      </w:r>
      <w:r w:rsidRPr="006012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юнионизации рабочих (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12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процентом официально </w:t>
      </w:r>
      <w:r w:rsidR="006152F7">
        <w:rPr>
          <w:rFonts w:ascii="Times New Roman" w:hAnsi="Times New Roman" w:cs="Times New Roman"/>
          <w:sz w:val="28"/>
          <w:szCs w:val="28"/>
        </w:rPr>
        <w:t>зафиксированных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2F7">
        <w:rPr>
          <w:rFonts w:ascii="Times New Roman" w:hAnsi="Times New Roman" w:cs="Times New Roman"/>
          <w:sz w:val="28"/>
          <w:szCs w:val="28"/>
        </w:rPr>
        <w:t xml:space="preserve">государственными статистическими службами участвующих </w:t>
      </w:r>
      <w:r>
        <w:rPr>
          <w:rFonts w:ascii="Times New Roman" w:hAnsi="Times New Roman" w:cs="Times New Roman"/>
          <w:sz w:val="28"/>
          <w:szCs w:val="28"/>
        </w:rPr>
        <w:t>в профсоюзах рабочих.</w:t>
      </w:r>
      <w:r w:rsidR="006152F7">
        <w:rPr>
          <w:rFonts w:ascii="Times New Roman" w:hAnsi="Times New Roman" w:cs="Times New Roman"/>
          <w:sz w:val="28"/>
          <w:szCs w:val="28"/>
        </w:rPr>
        <w:t xml:space="preserve"> Переменная представлена значениями от 0 до 100, где 0 </w:t>
      </w:r>
      <w:r w:rsidR="00725D2C">
        <w:rPr>
          <w:rFonts w:ascii="Times New Roman" w:hAnsi="Times New Roman" w:cs="Times New Roman"/>
          <w:sz w:val="28"/>
          <w:szCs w:val="28"/>
        </w:rPr>
        <w:t>— это</w:t>
      </w:r>
      <w:r w:rsidR="006152F7">
        <w:rPr>
          <w:rFonts w:ascii="Times New Roman" w:hAnsi="Times New Roman" w:cs="Times New Roman"/>
          <w:sz w:val="28"/>
          <w:szCs w:val="28"/>
        </w:rPr>
        <w:t xml:space="preserve"> административно не зарегистрирован ни один рабочий в профсоюзе, а 100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BE136D">
        <w:rPr>
          <w:rFonts w:ascii="Times New Roman" w:hAnsi="Times New Roman" w:cs="Times New Roman"/>
          <w:sz w:val="28"/>
          <w:szCs w:val="28"/>
        </w:rPr>
        <w:t xml:space="preserve"> </w:t>
      </w:r>
      <w:r w:rsidR="006152F7">
        <w:rPr>
          <w:rFonts w:ascii="Times New Roman" w:hAnsi="Times New Roman" w:cs="Times New Roman"/>
          <w:sz w:val="28"/>
          <w:szCs w:val="28"/>
        </w:rPr>
        <w:t>все рабочие страны находятся в профсоюзах.</w:t>
      </w:r>
      <w:r w:rsidR="00E066D1">
        <w:rPr>
          <w:rFonts w:ascii="Times New Roman" w:hAnsi="Times New Roman" w:cs="Times New Roman"/>
          <w:sz w:val="28"/>
          <w:szCs w:val="28"/>
        </w:rPr>
        <w:t xml:space="preserve"> Эта переменная </w:t>
      </w:r>
      <w:r w:rsidR="0065625C">
        <w:rPr>
          <w:rFonts w:ascii="Times New Roman" w:hAnsi="Times New Roman" w:cs="Times New Roman"/>
          <w:sz w:val="28"/>
          <w:szCs w:val="28"/>
        </w:rPr>
        <w:t>адекватна для те</w:t>
      </w:r>
      <w:r w:rsidR="00E066D1">
        <w:rPr>
          <w:rFonts w:ascii="Times New Roman" w:hAnsi="Times New Roman" w:cs="Times New Roman"/>
          <w:sz w:val="28"/>
          <w:szCs w:val="28"/>
        </w:rPr>
        <w:t>стирова</w:t>
      </w:r>
      <w:r w:rsidR="0065625C">
        <w:rPr>
          <w:rFonts w:ascii="Times New Roman" w:hAnsi="Times New Roman" w:cs="Times New Roman"/>
          <w:sz w:val="28"/>
          <w:szCs w:val="28"/>
        </w:rPr>
        <w:t>ния</w:t>
      </w:r>
      <w:r w:rsidR="00E066D1">
        <w:rPr>
          <w:rFonts w:ascii="Times New Roman" w:hAnsi="Times New Roman" w:cs="Times New Roman"/>
          <w:sz w:val="28"/>
          <w:szCs w:val="28"/>
        </w:rPr>
        <w:t xml:space="preserve"> гипотез </w:t>
      </w:r>
      <w:r w:rsidR="00E066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066D1" w:rsidRPr="00E066D1">
        <w:rPr>
          <w:rFonts w:ascii="Times New Roman" w:hAnsi="Times New Roman" w:cs="Times New Roman"/>
          <w:sz w:val="28"/>
          <w:szCs w:val="28"/>
        </w:rPr>
        <w:t>2</w:t>
      </w:r>
      <w:r w:rsidR="00E066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66D1" w:rsidRPr="00E066D1">
        <w:rPr>
          <w:rFonts w:ascii="Times New Roman" w:hAnsi="Times New Roman" w:cs="Times New Roman"/>
          <w:sz w:val="28"/>
          <w:szCs w:val="28"/>
        </w:rPr>
        <w:t xml:space="preserve">, </w:t>
      </w:r>
      <w:r w:rsidR="00E066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066D1" w:rsidRPr="00E066D1">
        <w:rPr>
          <w:rFonts w:ascii="Times New Roman" w:hAnsi="Times New Roman" w:cs="Times New Roman"/>
          <w:sz w:val="28"/>
          <w:szCs w:val="28"/>
        </w:rPr>
        <w:t>2</w:t>
      </w:r>
      <w:r w:rsidR="00E066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66D1" w:rsidRPr="00E066D1">
        <w:rPr>
          <w:rFonts w:ascii="Times New Roman" w:hAnsi="Times New Roman" w:cs="Times New Roman"/>
          <w:sz w:val="28"/>
          <w:szCs w:val="28"/>
        </w:rPr>
        <w:t>.</w:t>
      </w:r>
    </w:p>
    <w:p w14:paraId="62413949" w14:textId="0368160A" w:rsidR="0065625C" w:rsidRDefault="00EB7C1B" w:rsidP="006562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контрольных переменных в работе берутся возраст</w:t>
      </w:r>
      <w:r w:rsidR="00280C46">
        <w:rPr>
          <w:rStyle w:val="a6"/>
          <w:rFonts w:ascii="Times New Roman" w:hAnsi="Times New Roman" w:cs="Times New Roman"/>
          <w:sz w:val="28"/>
          <w:szCs w:val="28"/>
        </w:rPr>
        <w:footnoteReference w:id="17"/>
      </w:r>
      <w:r>
        <w:rPr>
          <w:rFonts w:ascii="Times New Roman" w:hAnsi="Times New Roman" w:cs="Times New Roman"/>
          <w:sz w:val="28"/>
          <w:szCs w:val="28"/>
        </w:rPr>
        <w:t>,</w:t>
      </w:r>
      <w:r w:rsidR="005079D1">
        <w:rPr>
          <w:rFonts w:ascii="Times New Roman" w:hAnsi="Times New Roman" w:cs="Times New Roman"/>
          <w:sz w:val="28"/>
          <w:szCs w:val="28"/>
        </w:rPr>
        <w:t xml:space="preserve"> </w:t>
      </w:r>
      <w:r w:rsidR="00E852E6">
        <w:rPr>
          <w:rFonts w:ascii="Times New Roman" w:hAnsi="Times New Roman" w:cs="Times New Roman"/>
          <w:sz w:val="28"/>
          <w:szCs w:val="28"/>
        </w:rPr>
        <w:t>пол</w:t>
      </w:r>
      <w:r w:rsidR="00280C46">
        <w:rPr>
          <w:rStyle w:val="a6"/>
          <w:rFonts w:ascii="Times New Roman" w:hAnsi="Times New Roman" w:cs="Times New Roman"/>
          <w:sz w:val="28"/>
          <w:szCs w:val="28"/>
        </w:rPr>
        <w:footnoteReference w:id="18"/>
      </w:r>
      <w:r w:rsidR="00E852E6">
        <w:rPr>
          <w:rFonts w:ascii="Times New Roman" w:hAnsi="Times New Roman" w:cs="Times New Roman"/>
          <w:sz w:val="28"/>
          <w:szCs w:val="28"/>
        </w:rPr>
        <w:t xml:space="preserve"> и гражданство респондента</w:t>
      </w:r>
      <w:r w:rsidR="00E513A9">
        <w:rPr>
          <w:rStyle w:val="a6"/>
          <w:rFonts w:ascii="Times New Roman" w:hAnsi="Times New Roman" w:cs="Times New Roman"/>
          <w:sz w:val="28"/>
          <w:szCs w:val="28"/>
        </w:rPr>
        <w:footnoteReference w:id="19"/>
      </w:r>
      <w:r w:rsidR="00F22AD5">
        <w:rPr>
          <w:rFonts w:ascii="Times New Roman" w:hAnsi="Times New Roman" w:cs="Times New Roman"/>
          <w:sz w:val="28"/>
          <w:szCs w:val="28"/>
        </w:rPr>
        <w:t>, а также профсоюзное участие</w:t>
      </w:r>
      <w:r w:rsidR="00E852E6">
        <w:rPr>
          <w:rFonts w:ascii="Times New Roman" w:hAnsi="Times New Roman" w:cs="Times New Roman"/>
          <w:sz w:val="28"/>
          <w:szCs w:val="28"/>
        </w:rPr>
        <w:t>.</w:t>
      </w:r>
      <w:r w:rsidR="005079D1" w:rsidRPr="005079D1">
        <w:rPr>
          <w:rFonts w:ascii="Times New Roman" w:hAnsi="Times New Roman" w:cs="Times New Roman"/>
          <w:sz w:val="28"/>
          <w:szCs w:val="28"/>
        </w:rPr>
        <w:t xml:space="preserve"> </w:t>
      </w:r>
      <w:r w:rsidR="005079D1">
        <w:rPr>
          <w:rFonts w:ascii="Times New Roman" w:hAnsi="Times New Roman" w:cs="Times New Roman"/>
          <w:sz w:val="28"/>
          <w:szCs w:val="28"/>
        </w:rPr>
        <w:t>Было принято решение не включать в состав контрольных переменных образование и уровень доходов (децильные группы)</w:t>
      </w:r>
      <w:r w:rsidR="005079D1">
        <w:rPr>
          <w:rStyle w:val="a6"/>
          <w:rFonts w:ascii="Times New Roman" w:hAnsi="Times New Roman" w:cs="Times New Roman"/>
          <w:sz w:val="28"/>
          <w:szCs w:val="28"/>
        </w:rPr>
        <w:footnoteReference w:id="20"/>
      </w:r>
      <w:r w:rsidR="005079D1">
        <w:rPr>
          <w:rFonts w:ascii="Times New Roman" w:hAnsi="Times New Roman" w:cs="Times New Roman"/>
          <w:sz w:val="28"/>
          <w:szCs w:val="28"/>
        </w:rPr>
        <w:t>, так как литература показывает существование выраженной эндогенности этих переменных с независимой</w:t>
      </w:r>
      <w:r w:rsidR="0065625C">
        <w:rPr>
          <w:rFonts w:ascii="Times New Roman" w:hAnsi="Times New Roman" w:cs="Times New Roman"/>
          <w:sz w:val="28"/>
          <w:szCs w:val="28"/>
        </w:rPr>
        <w:t>.</w:t>
      </w:r>
    </w:p>
    <w:p w14:paraId="404C627E" w14:textId="42C4E1D9" w:rsidR="0065625C" w:rsidRDefault="0065625C" w:rsidP="006562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F30279">
        <w:rPr>
          <w:rFonts w:ascii="Times New Roman" w:hAnsi="Times New Roman" w:cs="Times New Roman"/>
          <w:sz w:val="28"/>
          <w:szCs w:val="28"/>
        </w:rPr>
        <w:t xml:space="preserve"> (</w:t>
      </w:r>
      <w:r w:rsidR="00F30279">
        <w:rPr>
          <w:rFonts w:ascii="Times New Roman" w:hAnsi="Times New Roman" w:cs="Times New Roman"/>
          <w:sz w:val="28"/>
          <w:szCs w:val="28"/>
          <w:lang w:val="en-US"/>
        </w:rPr>
        <w:t>agea</w:t>
      </w:r>
      <w:r w:rsidR="00F302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непрерывным распределением, где </w:t>
      </w:r>
      <w:r w:rsidR="007C6696">
        <w:rPr>
          <w:rFonts w:ascii="Times New Roman" w:hAnsi="Times New Roman" w:cs="Times New Roman"/>
          <w:sz w:val="28"/>
          <w:szCs w:val="28"/>
        </w:rPr>
        <w:t>значение соответствует возрасту респондента</w:t>
      </w:r>
      <w:r w:rsidR="00F30279">
        <w:rPr>
          <w:rFonts w:ascii="Times New Roman" w:hAnsi="Times New Roman" w:cs="Times New Roman"/>
          <w:sz w:val="28"/>
          <w:szCs w:val="28"/>
        </w:rPr>
        <w:t>. Пол (</w:t>
      </w:r>
      <w:r w:rsidR="00F30279">
        <w:rPr>
          <w:rFonts w:ascii="Times New Roman" w:hAnsi="Times New Roman" w:cs="Times New Roman"/>
          <w:sz w:val="28"/>
          <w:szCs w:val="28"/>
          <w:lang w:val="en-US"/>
        </w:rPr>
        <w:t>gndr</w:t>
      </w:r>
      <w:r w:rsidR="00F30279">
        <w:rPr>
          <w:rFonts w:ascii="Times New Roman" w:hAnsi="Times New Roman" w:cs="Times New Roman"/>
          <w:sz w:val="28"/>
          <w:szCs w:val="28"/>
        </w:rPr>
        <w:t xml:space="preserve">) является категориальной </w:t>
      </w:r>
      <w:r w:rsidR="00F30279">
        <w:rPr>
          <w:rFonts w:ascii="Times New Roman" w:hAnsi="Times New Roman" w:cs="Times New Roman"/>
          <w:sz w:val="28"/>
          <w:szCs w:val="28"/>
        </w:rPr>
        <w:lastRenderedPageBreak/>
        <w:t xml:space="preserve">переменной, где 1 соответствует мужчине, 2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F30279">
        <w:rPr>
          <w:rFonts w:ascii="Times New Roman" w:hAnsi="Times New Roman" w:cs="Times New Roman"/>
          <w:sz w:val="28"/>
          <w:szCs w:val="28"/>
        </w:rPr>
        <w:t xml:space="preserve"> женщине</w:t>
      </w:r>
      <w:r w:rsidR="00F30279" w:rsidRPr="00F30279">
        <w:rPr>
          <w:rFonts w:ascii="Times New Roman" w:hAnsi="Times New Roman" w:cs="Times New Roman"/>
          <w:sz w:val="28"/>
          <w:szCs w:val="28"/>
        </w:rPr>
        <w:t xml:space="preserve">. </w:t>
      </w:r>
      <w:r w:rsidR="00F30279">
        <w:rPr>
          <w:rFonts w:ascii="Times New Roman" w:hAnsi="Times New Roman" w:cs="Times New Roman"/>
          <w:sz w:val="28"/>
          <w:szCs w:val="28"/>
        </w:rPr>
        <w:t>Гражданство респондента (</w:t>
      </w:r>
      <w:r w:rsidR="00F30279">
        <w:rPr>
          <w:rFonts w:ascii="Times New Roman" w:hAnsi="Times New Roman" w:cs="Times New Roman"/>
          <w:sz w:val="28"/>
          <w:szCs w:val="28"/>
          <w:lang w:val="en-US"/>
        </w:rPr>
        <w:t>ctzcntr</w:t>
      </w:r>
      <w:r w:rsidR="00F30279">
        <w:rPr>
          <w:rFonts w:ascii="Times New Roman" w:hAnsi="Times New Roman" w:cs="Times New Roman"/>
          <w:sz w:val="28"/>
          <w:szCs w:val="28"/>
        </w:rPr>
        <w:t>)</w:t>
      </w:r>
      <w:r w:rsidR="00F30279" w:rsidRPr="00F30279">
        <w:rPr>
          <w:rFonts w:ascii="Times New Roman" w:hAnsi="Times New Roman" w:cs="Times New Roman"/>
          <w:sz w:val="28"/>
          <w:szCs w:val="28"/>
        </w:rPr>
        <w:t xml:space="preserve"> </w:t>
      </w:r>
      <w:r w:rsidR="00F30279">
        <w:rPr>
          <w:rFonts w:ascii="Times New Roman" w:hAnsi="Times New Roman" w:cs="Times New Roman"/>
          <w:sz w:val="28"/>
          <w:szCs w:val="28"/>
        </w:rPr>
        <w:t xml:space="preserve">также является категориальной переменной, где 1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F30279">
        <w:rPr>
          <w:rFonts w:ascii="Times New Roman" w:hAnsi="Times New Roman" w:cs="Times New Roman"/>
          <w:sz w:val="28"/>
          <w:szCs w:val="28"/>
        </w:rPr>
        <w:t xml:space="preserve"> респондент является гражданином страны, в которой опрашивается, 2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F30279">
        <w:rPr>
          <w:rFonts w:ascii="Times New Roman" w:hAnsi="Times New Roman" w:cs="Times New Roman"/>
          <w:sz w:val="28"/>
          <w:szCs w:val="28"/>
        </w:rPr>
        <w:t xml:space="preserve"> не является</w:t>
      </w:r>
      <w:r w:rsidR="00F22AD5">
        <w:rPr>
          <w:rFonts w:ascii="Times New Roman" w:hAnsi="Times New Roman" w:cs="Times New Roman"/>
          <w:sz w:val="28"/>
          <w:szCs w:val="28"/>
        </w:rPr>
        <w:t>. Профсоюзное участие</w:t>
      </w:r>
      <w:r w:rsidR="00F22AD5" w:rsidRPr="00F22AD5">
        <w:rPr>
          <w:rFonts w:ascii="Times New Roman" w:hAnsi="Times New Roman" w:cs="Times New Roman"/>
          <w:sz w:val="28"/>
          <w:szCs w:val="28"/>
        </w:rPr>
        <w:t xml:space="preserve"> (</w:t>
      </w:r>
      <w:r w:rsidR="00F22AD5">
        <w:rPr>
          <w:rFonts w:ascii="Times New Roman" w:hAnsi="Times New Roman" w:cs="Times New Roman"/>
          <w:sz w:val="28"/>
          <w:szCs w:val="28"/>
          <w:lang w:val="en-US"/>
        </w:rPr>
        <w:t>mbtru</w:t>
      </w:r>
      <w:r w:rsidR="00F22AD5" w:rsidRPr="00F22AD5">
        <w:rPr>
          <w:rFonts w:ascii="Times New Roman" w:hAnsi="Times New Roman" w:cs="Times New Roman"/>
          <w:sz w:val="28"/>
          <w:szCs w:val="28"/>
        </w:rPr>
        <w:t>)</w:t>
      </w:r>
      <w:r w:rsidR="00F22AD5">
        <w:rPr>
          <w:rFonts w:ascii="Times New Roman" w:hAnsi="Times New Roman" w:cs="Times New Roman"/>
          <w:sz w:val="28"/>
          <w:szCs w:val="28"/>
        </w:rPr>
        <w:t xml:space="preserve"> также категориальная шкала, где 1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F22AD5">
        <w:rPr>
          <w:rFonts w:ascii="Times New Roman" w:hAnsi="Times New Roman" w:cs="Times New Roman"/>
          <w:sz w:val="28"/>
          <w:szCs w:val="28"/>
        </w:rPr>
        <w:t xml:space="preserve"> респондент является активным членом профсоюза, 2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F22AD5">
        <w:rPr>
          <w:rFonts w:ascii="Times New Roman" w:hAnsi="Times New Roman" w:cs="Times New Roman"/>
          <w:sz w:val="28"/>
          <w:szCs w:val="28"/>
        </w:rPr>
        <w:t xml:space="preserve"> респондент участвовал в профсоюзе, 3 </w:t>
      </w:r>
      <w:r w:rsidR="00BE136D">
        <w:rPr>
          <w:rFonts w:ascii="Times New Roman" w:hAnsi="Times New Roman" w:cs="Times New Roman"/>
          <w:sz w:val="28"/>
          <w:szCs w:val="28"/>
        </w:rPr>
        <w:t>—</w:t>
      </w:r>
      <w:r w:rsidR="00F22AD5">
        <w:rPr>
          <w:rFonts w:ascii="Times New Roman" w:hAnsi="Times New Roman" w:cs="Times New Roman"/>
          <w:sz w:val="28"/>
          <w:szCs w:val="28"/>
        </w:rPr>
        <w:t xml:space="preserve"> респондент никогда не состоял в профсоюзе</w:t>
      </w:r>
      <w:r w:rsidR="00F30279">
        <w:rPr>
          <w:rFonts w:ascii="Times New Roman" w:hAnsi="Times New Roman" w:cs="Times New Roman"/>
          <w:sz w:val="28"/>
          <w:szCs w:val="28"/>
        </w:rPr>
        <w:t>.</w:t>
      </w:r>
      <w:r w:rsidR="00DE6526">
        <w:rPr>
          <w:rFonts w:ascii="Times New Roman" w:hAnsi="Times New Roman" w:cs="Times New Roman"/>
          <w:sz w:val="28"/>
          <w:szCs w:val="28"/>
        </w:rPr>
        <w:t xml:space="preserve"> Ниже представлены описательные характеристики и изображены распределения переменных до их обработки, но уже с удалёнными пропущенными значениями.</w:t>
      </w:r>
      <w:r w:rsidR="00426116">
        <w:rPr>
          <w:rFonts w:ascii="Times New Roman" w:hAnsi="Times New Roman" w:cs="Times New Roman"/>
          <w:sz w:val="28"/>
          <w:szCs w:val="28"/>
        </w:rPr>
        <w:t xml:space="preserve"> Стоит сразу здесь отметить, что удаление </w:t>
      </w:r>
      <w:r w:rsidR="00610AC0">
        <w:rPr>
          <w:rFonts w:ascii="Times New Roman" w:hAnsi="Times New Roman" w:cs="Times New Roman"/>
          <w:sz w:val="28"/>
          <w:szCs w:val="28"/>
        </w:rPr>
        <w:t>четверти</w:t>
      </w:r>
      <w:r w:rsidR="00426116">
        <w:rPr>
          <w:rFonts w:ascii="Times New Roman" w:hAnsi="Times New Roman" w:cs="Times New Roman"/>
          <w:sz w:val="28"/>
          <w:szCs w:val="28"/>
        </w:rPr>
        <w:t xml:space="preserve"> наблюдений из сета в связи с пропущенными переменными может сказаться на качестве оценок, чему будет уделена линия размышления в разделе «Обсуждение».</w:t>
      </w:r>
    </w:p>
    <w:p w14:paraId="161921D1" w14:textId="5D331C8D" w:rsidR="00E6581D" w:rsidRDefault="00E6581D" w:rsidP="006562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B2DF5" w14:textId="4F7ED696" w:rsidR="00E6581D" w:rsidRDefault="00E6581D" w:rsidP="006562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B1660" w14:textId="6E965191" w:rsidR="00E6581D" w:rsidRDefault="00E6581D" w:rsidP="006562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408B6" w14:textId="77777777" w:rsidR="00E6581D" w:rsidRPr="00F30279" w:rsidRDefault="00E6581D" w:rsidP="006562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A9590" w14:textId="0FB40B6F" w:rsidR="007C6696" w:rsidRPr="00BE136D" w:rsidRDefault="007C6696" w:rsidP="00BE136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136D">
        <w:rPr>
          <w:rFonts w:ascii="Times New Roman" w:hAnsi="Times New Roman" w:cs="Times New Roman"/>
          <w:i/>
          <w:iCs/>
          <w:sz w:val="24"/>
          <w:szCs w:val="24"/>
        </w:rPr>
        <w:t>Таблица 1. Описательные статистики данных до преобразования</w:t>
      </w:r>
    </w:p>
    <w:p w14:paraId="3AA213F8" w14:textId="568EEA49" w:rsidR="007C6696" w:rsidRDefault="0052244B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DC3E6" wp14:editId="5E48CD32">
            <wp:extent cx="5940425" cy="13131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C6E4" w14:textId="08E0E08A" w:rsidR="00E6581D" w:rsidRDefault="00E6581D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2BB17" w14:textId="07A03A99" w:rsidR="00E6581D" w:rsidRDefault="00E6581D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4BFDF" w14:textId="5071A201" w:rsidR="00E6581D" w:rsidRDefault="00E6581D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0F1F5" w14:textId="77777777" w:rsidR="00E6581D" w:rsidRDefault="00E6581D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416EC" w14:textId="77777777" w:rsidR="00BE136D" w:rsidRDefault="00BE136D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50DFB" w14:textId="5FD9426B" w:rsidR="0087573B" w:rsidRPr="00BE136D" w:rsidRDefault="0029648B" w:rsidP="00BE136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136D">
        <w:rPr>
          <w:rFonts w:ascii="Times New Roman" w:hAnsi="Times New Roman" w:cs="Times New Roman"/>
          <w:i/>
          <w:iCs/>
          <w:sz w:val="24"/>
          <w:szCs w:val="24"/>
        </w:rPr>
        <w:lastRenderedPageBreak/>
        <w:t>Рис. 1. Переменные до нормализации и логарифмирования</w:t>
      </w:r>
    </w:p>
    <w:p w14:paraId="344F164A" w14:textId="4C2F0591" w:rsidR="0087573B" w:rsidRDefault="0052244B" w:rsidP="008757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48DDC6" wp14:editId="017E9BA1">
            <wp:extent cx="5940425" cy="3911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630B" w14:textId="5AE56EE4" w:rsidR="00E6581D" w:rsidRDefault="00E6581D" w:rsidP="008757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C0F20" w14:textId="4B3D007D" w:rsidR="00E6581D" w:rsidRDefault="00E6581D" w:rsidP="008757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88848" w14:textId="3FA1404C" w:rsidR="00E6581D" w:rsidRDefault="00E6581D" w:rsidP="008757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C6D1E" w14:textId="77777777" w:rsidR="00E6581D" w:rsidRDefault="00E6581D" w:rsidP="008757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A17CA" w14:textId="01332368" w:rsidR="0087573B" w:rsidRPr="00093886" w:rsidRDefault="0068733B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результаты работы могли бы повлиять скошенные распределения наших данных. Поэтому мы логарифмировали </w:t>
      </w:r>
      <w:r w:rsidR="00093886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093886">
        <w:rPr>
          <w:rFonts w:ascii="Times New Roman" w:hAnsi="Times New Roman" w:cs="Times New Roman"/>
          <w:sz w:val="28"/>
          <w:szCs w:val="28"/>
          <w:lang w:val="en-US"/>
        </w:rPr>
        <w:t>wkhtot</w:t>
      </w:r>
      <w:r w:rsidR="00093886" w:rsidRPr="00093886">
        <w:rPr>
          <w:rFonts w:ascii="Times New Roman" w:hAnsi="Times New Roman" w:cs="Times New Roman"/>
          <w:sz w:val="28"/>
          <w:szCs w:val="28"/>
        </w:rPr>
        <w:t xml:space="preserve"> </w:t>
      </w:r>
      <w:r w:rsidR="00093886">
        <w:rPr>
          <w:rFonts w:ascii="Times New Roman" w:hAnsi="Times New Roman" w:cs="Times New Roman"/>
          <w:sz w:val="28"/>
          <w:szCs w:val="28"/>
        </w:rPr>
        <w:t xml:space="preserve">и </w:t>
      </w:r>
      <w:r w:rsidR="00093886">
        <w:rPr>
          <w:rFonts w:ascii="Times New Roman" w:hAnsi="Times New Roman" w:cs="Times New Roman"/>
          <w:sz w:val="28"/>
          <w:szCs w:val="28"/>
          <w:lang w:val="en-US"/>
        </w:rPr>
        <w:t>wkhct</w:t>
      </w:r>
      <w:r w:rsidR="00093886">
        <w:rPr>
          <w:rFonts w:ascii="Times New Roman" w:hAnsi="Times New Roman" w:cs="Times New Roman"/>
          <w:sz w:val="28"/>
          <w:szCs w:val="28"/>
        </w:rPr>
        <w:t xml:space="preserve">, нормализовали распределение </w:t>
      </w:r>
      <w:r w:rsidR="00DA7C00">
        <w:rPr>
          <w:rFonts w:ascii="Times New Roman" w:hAnsi="Times New Roman" w:cs="Times New Roman"/>
          <w:sz w:val="28"/>
          <w:szCs w:val="28"/>
          <w:lang w:val="en-US"/>
        </w:rPr>
        <w:t>agea</w:t>
      </w:r>
      <w:r w:rsidR="00093886">
        <w:rPr>
          <w:rFonts w:ascii="Times New Roman" w:hAnsi="Times New Roman" w:cs="Times New Roman"/>
          <w:sz w:val="28"/>
          <w:szCs w:val="28"/>
        </w:rPr>
        <w:t>.</w:t>
      </w:r>
    </w:p>
    <w:p w14:paraId="3D7B4B54" w14:textId="70C586A6" w:rsidR="0087573B" w:rsidRDefault="0052244B" w:rsidP="008757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B7DDF" wp14:editId="03B87D53">
            <wp:extent cx="5940425" cy="38919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F0DA" w14:textId="7E89885D" w:rsidR="0087573B" w:rsidRPr="00BE136D" w:rsidRDefault="0029648B" w:rsidP="00BE136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136D">
        <w:rPr>
          <w:rFonts w:ascii="Times New Roman" w:hAnsi="Times New Roman" w:cs="Times New Roman"/>
          <w:i/>
          <w:iCs/>
          <w:sz w:val="24"/>
          <w:szCs w:val="24"/>
        </w:rPr>
        <w:t>Рис. 2. Переменные после нормализации и логарифмирования</w:t>
      </w:r>
    </w:p>
    <w:p w14:paraId="7E3E068B" w14:textId="4B62D2A4" w:rsidR="0029648B" w:rsidRDefault="0029648B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первичной работы с данными нам необходимо посмотреть, насколько имеет смысл учёт двух уровней исследуемой регрессий. Характер наших гипотез способствует оценки предикторов на двух уровнях. Помимо этого у нас есть основания предполагать, что у разных групп будут различаться стартовые условия, а также одна из наших гипотез формулируется вокруг разной взаимосвязи предикторов первого уровня и странового. Модель хорошо подходит ещё потому, что мы имеем довольно много пропущенных данных из-за неравномерности сбора. </w:t>
      </w:r>
      <w:r w:rsidR="00283401">
        <w:rPr>
          <w:rFonts w:ascii="Times New Roman" w:hAnsi="Times New Roman" w:cs="Times New Roman"/>
          <w:sz w:val="28"/>
          <w:szCs w:val="28"/>
        </w:rPr>
        <w:t>Модель со смешанными эффектами должна учитывать неравномерное количество наблюдений по группам. К сожалению, мы имеем пороговое количество групп (26)</w:t>
      </w:r>
      <w:r w:rsidR="00DA7C00">
        <w:rPr>
          <w:rFonts w:ascii="Times New Roman" w:hAnsi="Times New Roman" w:cs="Times New Roman"/>
          <w:sz w:val="28"/>
          <w:szCs w:val="28"/>
        </w:rPr>
        <w:t xml:space="preserve">. Однако обратимся к </w:t>
      </w:r>
      <w:r w:rsidR="00283401">
        <w:rPr>
          <w:rFonts w:ascii="Times New Roman" w:hAnsi="Times New Roman" w:cs="Times New Roman"/>
          <w:sz w:val="28"/>
          <w:szCs w:val="28"/>
        </w:rPr>
        <w:t>тест</w:t>
      </w:r>
      <w:r w:rsidR="00DA7C00">
        <w:rPr>
          <w:rFonts w:ascii="Times New Roman" w:hAnsi="Times New Roman" w:cs="Times New Roman"/>
          <w:sz w:val="28"/>
          <w:szCs w:val="28"/>
        </w:rPr>
        <w:t>ам</w:t>
      </w:r>
      <w:r w:rsidR="005E2C10">
        <w:rPr>
          <w:rFonts w:ascii="Times New Roman" w:hAnsi="Times New Roman" w:cs="Times New Roman"/>
          <w:sz w:val="28"/>
          <w:szCs w:val="28"/>
        </w:rPr>
        <w:t>, которые должны показать обоснованность выбора модели</w:t>
      </w:r>
      <w:r w:rsidR="002834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7C701" w14:textId="5BDA3AA4" w:rsidR="00E6581D" w:rsidRDefault="00E6581D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089824" w14:textId="0AC192DE" w:rsidR="00E6581D" w:rsidRDefault="00E6581D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E01D3" w14:textId="77777777" w:rsidR="00E6581D" w:rsidRDefault="00E6581D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476FD" w14:textId="6C955B4D" w:rsidR="0087573B" w:rsidRPr="00BE136D" w:rsidRDefault="0029648B" w:rsidP="00BE136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136D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Таблица </w:t>
      </w:r>
      <w:r w:rsidR="00610AC0" w:rsidRPr="00BE136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E136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87573B" w:rsidRPr="00BE136D">
        <w:rPr>
          <w:rFonts w:ascii="Times New Roman" w:hAnsi="Times New Roman" w:cs="Times New Roman"/>
          <w:i/>
          <w:iCs/>
          <w:sz w:val="24"/>
          <w:szCs w:val="24"/>
        </w:rPr>
        <w:t>Оценка нулевой модели</w:t>
      </w:r>
    </w:p>
    <w:p w14:paraId="3D5D5259" w14:textId="44C16801" w:rsidR="0087573B" w:rsidRDefault="0052244B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FC7FA" wp14:editId="3A67A4F3">
            <wp:extent cx="4457143" cy="2914286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C95" w14:textId="558A1DF1" w:rsidR="0087573B" w:rsidRPr="0029648B" w:rsidRDefault="0029648B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 нулевую модель, мы получили внутриклассовый коэффициент корреляции </w:t>
      </w:r>
      <w:r w:rsidR="001236EB">
        <w:rPr>
          <w:rFonts w:ascii="Times New Roman" w:hAnsi="Times New Roman" w:cs="Times New Roman"/>
          <w:sz w:val="28"/>
          <w:szCs w:val="28"/>
          <w:lang w:val="en-US"/>
        </w:rPr>
        <w:t>ICC</w:t>
      </w:r>
      <w:r w:rsidR="001236EB" w:rsidRPr="0029648B">
        <w:rPr>
          <w:rFonts w:ascii="Times New Roman" w:hAnsi="Times New Roman" w:cs="Times New Roman"/>
          <w:sz w:val="28"/>
          <w:szCs w:val="28"/>
        </w:rPr>
        <w:t xml:space="preserve"> = 0.2719</w:t>
      </w:r>
      <w:r>
        <w:rPr>
          <w:rFonts w:ascii="Times New Roman" w:hAnsi="Times New Roman" w:cs="Times New Roman"/>
          <w:sz w:val="28"/>
          <w:szCs w:val="28"/>
        </w:rPr>
        <w:t xml:space="preserve">. Это свидетельствует в пользу того, что </w:t>
      </w:r>
      <w:r w:rsidR="00283401">
        <w:rPr>
          <w:rFonts w:ascii="Times New Roman" w:hAnsi="Times New Roman" w:cs="Times New Roman"/>
          <w:sz w:val="28"/>
          <w:szCs w:val="28"/>
        </w:rPr>
        <w:t xml:space="preserve">нам предпочтительно учитывать разницу на разных уровнях. Однако </w:t>
      </w:r>
      <w:r w:rsidR="00283401">
        <w:rPr>
          <w:rFonts w:ascii="Times New Roman" w:hAnsi="Times New Roman" w:cs="Times New Roman"/>
          <w:sz w:val="28"/>
          <w:szCs w:val="28"/>
          <w:lang w:val="en-US"/>
        </w:rPr>
        <w:t>ICC</w:t>
      </w:r>
      <w:r w:rsidR="00283401" w:rsidRPr="00283401">
        <w:rPr>
          <w:rFonts w:ascii="Times New Roman" w:hAnsi="Times New Roman" w:cs="Times New Roman"/>
          <w:sz w:val="28"/>
          <w:szCs w:val="28"/>
        </w:rPr>
        <w:t xml:space="preserve"> </w:t>
      </w:r>
      <w:r w:rsidR="00283401">
        <w:rPr>
          <w:rFonts w:ascii="Times New Roman" w:hAnsi="Times New Roman" w:cs="Times New Roman"/>
          <w:sz w:val="28"/>
          <w:szCs w:val="28"/>
        </w:rPr>
        <w:t>часто недостаточно. Посмотрим на наклоны и стартовые точки для ключевого предиктора и зависимой переменной для индивида по странам.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3914B" w14:textId="01F37EEB" w:rsidR="001236EB" w:rsidRDefault="0052244B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58AC6C" wp14:editId="6EC093A0">
            <wp:extent cx="5640780" cy="3703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020" cy="37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851" w14:textId="77777777" w:rsidR="0029648B" w:rsidRPr="00BE136D" w:rsidRDefault="0029648B" w:rsidP="00BE136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136D">
        <w:rPr>
          <w:rFonts w:ascii="Times New Roman" w:hAnsi="Times New Roman" w:cs="Times New Roman"/>
          <w:i/>
          <w:iCs/>
          <w:sz w:val="24"/>
          <w:szCs w:val="24"/>
        </w:rPr>
        <w:t>Рисунок 3. Взаимосвязь между количеством часов работы и удовлетворённостью жизнью в целом индивида по странам.</w:t>
      </w:r>
    </w:p>
    <w:p w14:paraId="32089B37" w14:textId="6CEC5DCE" w:rsidR="001236EB" w:rsidRDefault="0029648B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83401">
        <w:rPr>
          <w:rFonts w:ascii="Times New Roman" w:hAnsi="Times New Roman" w:cs="Times New Roman"/>
          <w:sz w:val="28"/>
          <w:szCs w:val="28"/>
        </w:rPr>
        <w:t xml:space="preserve">Мы снова получаем свидетельство в пользу выбора модели со смешанными эффектами. Мы видим различающийся наклон, степень наклона и стартовые условия. </w:t>
      </w:r>
      <w:r w:rsidR="003322F8">
        <w:rPr>
          <w:rFonts w:ascii="Times New Roman" w:hAnsi="Times New Roman" w:cs="Times New Roman"/>
          <w:sz w:val="28"/>
          <w:szCs w:val="28"/>
        </w:rPr>
        <w:t>Перейдём к оценке модели.</w:t>
      </w:r>
    </w:p>
    <w:p w14:paraId="42D78B44" w14:textId="77777777" w:rsidR="00E6581D" w:rsidRPr="0029648B" w:rsidRDefault="00E6581D" w:rsidP="00314E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51558" w14:textId="4C026D2F" w:rsidR="00A53925" w:rsidRPr="00E6581D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14237753" w14:textId="04F7E6D5" w:rsidR="00E852E6" w:rsidRDefault="00BA4140" w:rsidP="00E85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постепенное оценивание моделей с включения в первую модель</w:t>
      </w:r>
      <w:r w:rsidR="00F22AD5">
        <w:rPr>
          <w:rFonts w:ascii="Times New Roman" w:hAnsi="Times New Roman" w:cs="Times New Roman"/>
          <w:sz w:val="28"/>
          <w:szCs w:val="28"/>
        </w:rPr>
        <w:t xml:space="preserve"> (</w:t>
      </w:r>
      <w:r w:rsidR="00F22AD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22AD5" w:rsidRPr="00F22AD5">
        <w:rPr>
          <w:rFonts w:ascii="Times New Roman" w:hAnsi="Times New Roman" w:cs="Times New Roman"/>
          <w:sz w:val="28"/>
          <w:szCs w:val="28"/>
        </w:rPr>
        <w:t>_1</w:t>
      </w:r>
      <w:r w:rsidR="00F22A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ключевой и контрольн</w:t>
      </w:r>
      <w:r w:rsidR="002A27DD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2A27DD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на первом уровне, во вторую </w:t>
      </w:r>
      <w:r w:rsidR="00202B59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A27DD">
        <w:rPr>
          <w:rFonts w:ascii="Times New Roman" w:hAnsi="Times New Roman" w:cs="Times New Roman"/>
          <w:sz w:val="28"/>
          <w:szCs w:val="28"/>
        </w:rPr>
        <w:t>включим</w:t>
      </w:r>
      <w:r w:rsidR="00202B59">
        <w:rPr>
          <w:rFonts w:ascii="Times New Roman" w:hAnsi="Times New Roman" w:cs="Times New Roman"/>
          <w:sz w:val="28"/>
          <w:szCs w:val="28"/>
        </w:rPr>
        <w:t xml:space="preserve"> межгрупповую изменчивость, в третью </w:t>
      </w:r>
      <w:r w:rsidR="002A27DD">
        <w:rPr>
          <w:rFonts w:ascii="Times New Roman" w:hAnsi="Times New Roman" w:cs="Times New Roman"/>
          <w:sz w:val="28"/>
          <w:szCs w:val="28"/>
        </w:rPr>
        <w:t xml:space="preserve">- </w:t>
      </w:r>
      <w:r w:rsidR="00202B59">
        <w:rPr>
          <w:rFonts w:ascii="Times New Roman" w:hAnsi="Times New Roman" w:cs="Times New Roman"/>
          <w:sz w:val="28"/>
          <w:szCs w:val="28"/>
        </w:rPr>
        <w:t>ключевой предиктор на втором уровне, четвёрт</w:t>
      </w:r>
      <w:r w:rsidR="002A27DD">
        <w:rPr>
          <w:rFonts w:ascii="Times New Roman" w:hAnsi="Times New Roman" w:cs="Times New Roman"/>
          <w:sz w:val="28"/>
          <w:szCs w:val="28"/>
        </w:rPr>
        <w:t>ую модель оценим с учётом</w:t>
      </w:r>
      <w:r w:rsidR="00245F6B">
        <w:rPr>
          <w:rFonts w:ascii="Times New Roman" w:hAnsi="Times New Roman" w:cs="Times New Roman"/>
          <w:sz w:val="28"/>
          <w:szCs w:val="28"/>
        </w:rPr>
        <w:t xml:space="preserve"> и</w:t>
      </w:r>
      <w:r w:rsidR="002A27DD">
        <w:rPr>
          <w:rFonts w:ascii="Times New Roman" w:hAnsi="Times New Roman" w:cs="Times New Roman"/>
          <w:sz w:val="28"/>
          <w:szCs w:val="28"/>
        </w:rPr>
        <w:t xml:space="preserve"> межгрупповой изменчивости, и предиктора на втором уровне</w:t>
      </w:r>
      <w:r w:rsidR="00F22AD5">
        <w:rPr>
          <w:rFonts w:ascii="Times New Roman" w:hAnsi="Times New Roman" w:cs="Times New Roman"/>
          <w:sz w:val="28"/>
          <w:szCs w:val="28"/>
        </w:rPr>
        <w:t>, в пятую модель добавим переменную взаимодействия.</w:t>
      </w:r>
    </w:p>
    <w:p w14:paraId="1C3B2870" w14:textId="01B3A7AF" w:rsidR="003F513D" w:rsidRPr="00BE136D" w:rsidRDefault="003F513D" w:rsidP="00BE136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136D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610AC0" w:rsidRPr="00BE136D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E136D">
        <w:rPr>
          <w:rFonts w:ascii="Times New Roman" w:hAnsi="Times New Roman" w:cs="Times New Roman"/>
          <w:i/>
          <w:iCs/>
          <w:sz w:val="24"/>
          <w:szCs w:val="24"/>
        </w:rPr>
        <w:t xml:space="preserve">. Оценка модели </w:t>
      </w:r>
      <w:r w:rsidRPr="00BE136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BE136D">
        <w:rPr>
          <w:rFonts w:ascii="Times New Roman" w:hAnsi="Times New Roman" w:cs="Times New Roman"/>
          <w:i/>
          <w:iCs/>
          <w:sz w:val="24"/>
          <w:szCs w:val="24"/>
        </w:rPr>
        <w:t>_1.</w:t>
      </w:r>
    </w:p>
    <w:p w14:paraId="316F6FC1" w14:textId="16A1907E" w:rsidR="003F513D" w:rsidRDefault="00F22AD5" w:rsidP="00BE13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0F728" wp14:editId="247CD07D">
            <wp:extent cx="5940425" cy="39744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661" w14:textId="01CC1A8E" w:rsidR="003F513D" w:rsidRPr="00F22AD5" w:rsidRDefault="003F513D" w:rsidP="00E85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модели мы имеем включённые ключевые и контрольные предикторы первого уровня, а также коэффициент на втором уровне. Оценка первой модели уже позволяет увидеть значимы</w:t>
      </w:r>
      <w:r w:rsidR="00F22AD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ключев</w:t>
      </w:r>
      <w:r w:rsidR="00F22AD5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 xml:space="preserve">предиктор, </w:t>
      </w:r>
      <w:r>
        <w:rPr>
          <w:rFonts w:ascii="Times New Roman" w:hAnsi="Times New Roman" w:cs="Times New Roman"/>
          <w:sz w:val="28"/>
          <w:szCs w:val="28"/>
        </w:rPr>
        <w:lastRenderedPageBreak/>
        <w:t>положительную связь с зависимой переменной количества рабочих часов</w:t>
      </w:r>
      <w:r w:rsidR="00F22AD5">
        <w:rPr>
          <w:rFonts w:ascii="Times New Roman" w:hAnsi="Times New Roman" w:cs="Times New Roman"/>
          <w:sz w:val="28"/>
          <w:szCs w:val="28"/>
        </w:rPr>
        <w:t xml:space="preserve">. </w:t>
      </w:r>
      <w:r w:rsidR="00F22AD5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F22AD5" w:rsidRPr="00F22AD5">
        <w:rPr>
          <w:rFonts w:ascii="Times New Roman" w:hAnsi="Times New Roman" w:cs="Times New Roman"/>
          <w:sz w:val="28"/>
          <w:szCs w:val="28"/>
        </w:rPr>
        <w:t xml:space="preserve"> </w:t>
      </w:r>
      <w:r w:rsidR="00F22AD5">
        <w:rPr>
          <w:rFonts w:ascii="Times New Roman" w:hAnsi="Times New Roman" w:cs="Times New Roman"/>
          <w:sz w:val="28"/>
          <w:szCs w:val="28"/>
        </w:rPr>
        <w:t xml:space="preserve">таблица показывает </w:t>
      </w:r>
      <w:r w:rsidR="00F22AD5" w:rsidRPr="00306CAF">
        <w:rPr>
          <w:rFonts w:ascii="Times New Roman" w:hAnsi="Times New Roman" w:cs="Times New Roman"/>
          <w:i/>
          <w:iCs/>
          <w:sz w:val="28"/>
          <w:szCs w:val="28"/>
        </w:rPr>
        <w:t>(Приложение 1)</w:t>
      </w:r>
      <w:r w:rsidR="00F22AD5">
        <w:rPr>
          <w:rFonts w:ascii="Times New Roman" w:hAnsi="Times New Roman" w:cs="Times New Roman"/>
          <w:sz w:val="28"/>
          <w:szCs w:val="28"/>
        </w:rPr>
        <w:t>, что нам следует предпочесть эту модель нулевой модели.</w:t>
      </w:r>
    </w:p>
    <w:p w14:paraId="754A32F7" w14:textId="6DBEE533" w:rsidR="003F513D" w:rsidRPr="00BE136D" w:rsidRDefault="003F513D" w:rsidP="00BE136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E136D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610AC0" w:rsidRPr="00BE136D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691268" w:rsidRPr="00BE136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E136D">
        <w:rPr>
          <w:rFonts w:ascii="Times New Roman" w:hAnsi="Times New Roman" w:cs="Times New Roman"/>
          <w:i/>
          <w:iCs/>
          <w:sz w:val="24"/>
          <w:szCs w:val="24"/>
        </w:rPr>
        <w:t xml:space="preserve"> Оценка модели </w:t>
      </w:r>
      <w:r w:rsidRPr="00BE136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BE136D">
        <w:rPr>
          <w:rFonts w:ascii="Times New Roman" w:hAnsi="Times New Roman" w:cs="Times New Roman"/>
          <w:i/>
          <w:iCs/>
          <w:sz w:val="24"/>
          <w:szCs w:val="24"/>
        </w:rPr>
        <w:t>_2.</w:t>
      </w:r>
    </w:p>
    <w:p w14:paraId="4F67AEBA" w14:textId="53957CDF" w:rsidR="003F513D" w:rsidRDefault="00C94594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E46682" wp14:editId="577EFA2C">
            <wp:extent cx="5940425" cy="441134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F736" w14:textId="5B38B3B3" w:rsidR="00691268" w:rsidRPr="00C94594" w:rsidRDefault="003F513D" w:rsidP="00E85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модели мы </w:t>
      </w:r>
      <w:r w:rsidR="00691268">
        <w:rPr>
          <w:rFonts w:ascii="Times New Roman" w:hAnsi="Times New Roman" w:cs="Times New Roman"/>
          <w:sz w:val="28"/>
          <w:szCs w:val="28"/>
        </w:rPr>
        <w:t>предполагаем, что предиктор количества рабочих часов не связан случайно с зависимой переменной - предиктор первого уровня перетягивает часть групповой изменчивости на себя.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594">
        <w:rPr>
          <w:rFonts w:ascii="Times New Roman" w:hAnsi="Times New Roman" w:cs="Times New Roman"/>
          <w:sz w:val="28"/>
          <w:szCs w:val="28"/>
        </w:rPr>
        <w:t>Ключевая переменная стала значима на меньшем уровне, но всё равно сохранила значимость. Контрольные переменные не изменили</w:t>
      </w:r>
      <w:r w:rsidR="00691268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начимость на первом уровне.</w:t>
      </w:r>
      <w:r w:rsidR="00691268">
        <w:rPr>
          <w:rFonts w:ascii="Times New Roman" w:hAnsi="Times New Roman" w:cs="Times New Roman"/>
          <w:sz w:val="28"/>
          <w:szCs w:val="28"/>
        </w:rPr>
        <w:t xml:space="preserve"> </w:t>
      </w:r>
      <w:r w:rsidR="00C94594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691268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691268" w:rsidRPr="00691268">
        <w:rPr>
          <w:rFonts w:ascii="Times New Roman" w:hAnsi="Times New Roman" w:cs="Times New Roman"/>
          <w:sz w:val="28"/>
          <w:szCs w:val="28"/>
        </w:rPr>
        <w:t xml:space="preserve"> </w:t>
      </w:r>
      <w:r w:rsidR="00691268">
        <w:rPr>
          <w:rFonts w:ascii="Times New Roman" w:hAnsi="Times New Roman" w:cs="Times New Roman"/>
          <w:sz w:val="28"/>
          <w:szCs w:val="28"/>
        </w:rPr>
        <w:t>тест</w:t>
      </w:r>
      <w:r w:rsidR="00C94594">
        <w:rPr>
          <w:rFonts w:ascii="Times New Roman" w:hAnsi="Times New Roman" w:cs="Times New Roman"/>
          <w:sz w:val="28"/>
          <w:szCs w:val="28"/>
        </w:rPr>
        <w:t xml:space="preserve"> </w:t>
      </w:r>
      <w:r w:rsidR="00C94594" w:rsidRPr="00306CAF">
        <w:rPr>
          <w:rFonts w:ascii="Times New Roman" w:hAnsi="Times New Roman" w:cs="Times New Roman"/>
          <w:i/>
          <w:iCs/>
          <w:sz w:val="28"/>
          <w:szCs w:val="28"/>
        </w:rPr>
        <w:t>(Приложение 2)</w:t>
      </w:r>
      <w:r w:rsidR="00691268">
        <w:rPr>
          <w:rFonts w:ascii="Times New Roman" w:hAnsi="Times New Roman" w:cs="Times New Roman"/>
          <w:sz w:val="28"/>
          <w:szCs w:val="28"/>
        </w:rPr>
        <w:t xml:space="preserve"> </w:t>
      </w:r>
      <w:r w:rsidR="00C94594">
        <w:rPr>
          <w:rFonts w:ascii="Times New Roman" w:hAnsi="Times New Roman" w:cs="Times New Roman"/>
          <w:sz w:val="28"/>
          <w:szCs w:val="28"/>
        </w:rPr>
        <w:t xml:space="preserve">не отрицает нулевую гипотезу, а значит </w:t>
      </w:r>
      <w:r w:rsidR="0069126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91268" w:rsidRPr="00691268">
        <w:rPr>
          <w:rFonts w:ascii="Times New Roman" w:hAnsi="Times New Roman" w:cs="Times New Roman"/>
          <w:sz w:val="28"/>
          <w:szCs w:val="28"/>
        </w:rPr>
        <w:t>_2</w:t>
      </w:r>
      <w:r w:rsidR="00C94594">
        <w:rPr>
          <w:rFonts w:ascii="Times New Roman" w:hAnsi="Times New Roman" w:cs="Times New Roman"/>
          <w:sz w:val="28"/>
          <w:szCs w:val="28"/>
        </w:rPr>
        <w:t>, являющаяся менее экономной, не является предпочтительной</w:t>
      </w:r>
      <w:r w:rsidR="00691268" w:rsidRPr="00691268">
        <w:rPr>
          <w:rFonts w:ascii="Times New Roman" w:hAnsi="Times New Roman" w:cs="Times New Roman"/>
          <w:sz w:val="28"/>
          <w:szCs w:val="28"/>
        </w:rPr>
        <w:t>.</w:t>
      </w:r>
      <w:r w:rsidR="00C94594">
        <w:rPr>
          <w:rFonts w:ascii="Times New Roman" w:hAnsi="Times New Roman" w:cs="Times New Roman"/>
          <w:sz w:val="28"/>
          <w:szCs w:val="28"/>
        </w:rPr>
        <w:t xml:space="preserve"> Индикаторами отказа от выбора второй модели также являются критерии </w:t>
      </w:r>
      <w:r w:rsidR="00C94594">
        <w:rPr>
          <w:rFonts w:ascii="Times New Roman" w:hAnsi="Times New Roman" w:cs="Times New Roman"/>
          <w:sz w:val="28"/>
          <w:szCs w:val="28"/>
          <w:lang w:val="en-US"/>
        </w:rPr>
        <w:t>AIC</w:t>
      </w:r>
      <w:r w:rsidR="00C94594" w:rsidRPr="00C94594">
        <w:rPr>
          <w:rFonts w:ascii="Times New Roman" w:hAnsi="Times New Roman" w:cs="Times New Roman"/>
          <w:sz w:val="28"/>
          <w:szCs w:val="28"/>
        </w:rPr>
        <w:t xml:space="preserve"> </w:t>
      </w:r>
      <w:r w:rsidR="00C94594">
        <w:rPr>
          <w:rFonts w:ascii="Times New Roman" w:hAnsi="Times New Roman" w:cs="Times New Roman"/>
          <w:sz w:val="28"/>
          <w:szCs w:val="28"/>
        </w:rPr>
        <w:t xml:space="preserve">и </w:t>
      </w:r>
      <w:r w:rsidR="00C94594">
        <w:rPr>
          <w:rFonts w:ascii="Times New Roman" w:hAnsi="Times New Roman" w:cs="Times New Roman"/>
          <w:sz w:val="28"/>
          <w:szCs w:val="28"/>
          <w:lang w:val="en-US"/>
        </w:rPr>
        <w:t>BIC</w:t>
      </w:r>
      <w:r w:rsidR="00C94594">
        <w:rPr>
          <w:rFonts w:ascii="Times New Roman" w:hAnsi="Times New Roman" w:cs="Times New Roman"/>
          <w:sz w:val="28"/>
          <w:szCs w:val="28"/>
        </w:rPr>
        <w:t>, которые выросли на 3 и 19 соответственно.</w:t>
      </w:r>
    </w:p>
    <w:p w14:paraId="4AB88173" w14:textId="6CFC38FF" w:rsidR="00691268" w:rsidRPr="00C94594" w:rsidRDefault="00691268" w:rsidP="006912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Третья модель проверяет гипотезу о влиянии юнионизации на страновом уровне. У </w:t>
      </w:r>
      <w:r w:rsidR="00C94594">
        <w:rPr>
          <w:rFonts w:ascii="Times New Roman" w:hAnsi="Times New Roman" w:cs="Times New Roman"/>
          <w:sz w:val="28"/>
          <w:szCs w:val="28"/>
        </w:rPr>
        <w:t xml:space="preserve">предиктора </w:t>
      </w:r>
      <w:r w:rsidR="00CF10EA">
        <w:rPr>
          <w:rFonts w:ascii="Times New Roman" w:hAnsi="Times New Roman" w:cs="Times New Roman"/>
          <w:sz w:val="28"/>
          <w:szCs w:val="28"/>
        </w:rPr>
        <w:t>на втором уровне, отображающ</w:t>
      </w:r>
      <w:r w:rsidR="00C94594">
        <w:rPr>
          <w:rFonts w:ascii="Times New Roman" w:hAnsi="Times New Roman" w:cs="Times New Roman"/>
          <w:sz w:val="28"/>
          <w:szCs w:val="28"/>
        </w:rPr>
        <w:t xml:space="preserve">его </w:t>
      </w:r>
      <w:r w:rsidR="00CF10EA">
        <w:rPr>
          <w:rFonts w:ascii="Times New Roman" w:hAnsi="Times New Roman" w:cs="Times New Roman"/>
          <w:sz w:val="28"/>
          <w:szCs w:val="28"/>
        </w:rPr>
        <w:t>юнионизацию, высокая значимость</w:t>
      </w:r>
      <w:r w:rsidR="00C94594">
        <w:rPr>
          <w:rFonts w:ascii="Times New Roman" w:hAnsi="Times New Roman" w:cs="Times New Roman"/>
          <w:sz w:val="28"/>
          <w:szCs w:val="28"/>
        </w:rPr>
        <w:t xml:space="preserve"> на уровне 0.01</w:t>
      </w:r>
      <w:r w:rsidR="00CF10EA">
        <w:rPr>
          <w:rFonts w:ascii="Times New Roman" w:hAnsi="Times New Roman" w:cs="Times New Roman"/>
          <w:sz w:val="28"/>
          <w:szCs w:val="28"/>
        </w:rPr>
        <w:t xml:space="preserve">. </w:t>
      </w:r>
      <w:r w:rsidR="00C94594">
        <w:rPr>
          <w:rFonts w:ascii="Times New Roman" w:hAnsi="Times New Roman" w:cs="Times New Roman"/>
          <w:sz w:val="28"/>
          <w:szCs w:val="28"/>
        </w:rPr>
        <w:t>Ключевой предиктор</w:t>
      </w:r>
      <w:r w:rsidR="00CF10EA">
        <w:rPr>
          <w:rFonts w:ascii="Times New Roman" w:hAnsi="Times New Roman" w:cs="Times New Roman"/>
          <w:sz w:val="28"/>
          <w:szCs w:val="28"/>
        </w:rPr>
        <w:t xml:space="preserve"> первого уровня сохранил </w:t>
      </w:r>
      <w:r w:rsidR="00C94594">
        <w:rPr>
          <w:rFonts w:ascii="Times New Roman" w:hAnsi="Times New Roman" w:cs="Times New Roman"/>
          <w:sz w:val="28"/>
          <w:szCs w:val="28"/>
        </w:rPr>
        <w:t xml:space="preserve">ту же значимость по отношению к </w:t>
      </w:r>
      <w:r w:rsidR="00C9459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94594" w:rsidRPr="00C94594">
        <w:rPr>
          <w:rFonts w:ascii="Times New Roman" w:hAnsi="Times New Roman" w:cs="Times New Roman"/>
          <w:sz w:val="28"/>
          <w:szCs w:val="28"/>
        </w:rPr>
        <w:t>_1</w:t>
      </w:r>
      <w:r w:rsidR="00C94594">
        <w:rPr>
          <w:rFonts w:ascii="Times New Roman" w:hAnsi="Times New Roman" w:cs="Times New Roman"/>
          <w:sz w:val="28"/>
          <w:szCs w:val="28"/>
        </w:rPr>
        <w:t xml:space="preserve"> сохранил </w:t>
      </w:r>
      <w:r w:rsidR="00CF10EA">
        <w:rPr>
          <w:rFonts w:ascii="Times New Roman" w:hAnsi="Times New Roman" w:cs="Times New Roman"/>
          <w:sz w:val="28"/>
          <w:szCs w:val="28"/>
        </w:rPr>
        <w:t xml:space="preserve">и то же направление. </w:t>
      </w:r>
      <w:r w:rsidR="000847E0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0847E0" w:rsidRPr="000847E0">
        <w:rPr>
          <w:rFonts w:ascii="Times New Roman" w:hAnsi="Times New Roman" w:cs="Times New Roman"/>
          <w:sz w:val="28"/>
          <w:szCs w:val="28"/>
        </w:rPr>
        <w:t xml:space="preserve"> </w:t>
      </w:r>
      <w:r w:rsidR="000847E0">
        <w:rPr>
          <w:rFonts w:ascii="Times New Roman" w:hAnsi="Times New Roman" w:cs="Times New Roman"/>
          <w:sz w:val="28"/>
          <w:szCs w:val="28"/>
        </w:rPr>
        <w:t>тест</w:t>
      </w:r>
      <w:r w:rsidR="00C94594">
        <w:rPr>
          <w:rFonts w:ascii="Times New Roman" w:hAnsi="Times New Roman" w:cs="Times New Roman"/>
          <w:sz w:val="28"/>
          <w:szCs w:val="28"/>
        </w:rPr>
        <w:t xml:space="preserve"> </w:t>
      </w:r>
      <w:r w:rsidR="00C94594" w:rsidRPr="00306CAF">
        <w:rPr>
          <w:rFonts w:ascii="Times New Roman" w:hAnsi="Times New Roman" w:cs="Times New Roman"/>
          <w:i/>
          <w:iCs/>
          <w:sz w:val="28"/>
          <w:szCs w:val="28"/>
        </w:rPr>
        <w:t>(Приложение 3)</w:t>
      </w:r>
      <w:r w:rsidR="000847E0">
        <w:rPr>
          <w:rFonts w:ascii="Times New Roman" w:hAnsi="Times New Roman" w:cs="Times New Roman"/>
          <w:sz w:val="28"/>
          <w:szCs w:val="28"/>
        </w:rPr>
        <w:t xml:space="preserve"> свидетельствует в пользу принятия менее экономной модели</w:t>
      </w:r>
      <w:r w:rsidR="000847E0" w:rsidRPr="000847E0">
        <w:rPr>
          <w:rFonts w:ascii="Times New Roman" w:hAnsi="Times New Roman" w:cs="Times New Roman"/>
          <w:sz w:val="28"/>
          <w:szCs w:val="28"/>
        </w:rPr>
        <w:t>.</w:t>
      </w:r>
      <w:r w:rsidR="00C94594" w:rsidRPr="00C94594">
        <w:rPr>
          <w:rFonts w:ascii="Times New Roman" w:hAnsi="Times New Roman" w:cs="Times New Roman"/>
          <w:sz w:val="28"/>
          <w:szCs w:val="28"/>
        </w:rPr>
        <w:t xml:space="preserve"> </w:t>
      </w:r>
      <w:r w:rsidR="00C94594">
        <w:rPr>
          <w:rFonts w:ascii="Times New Roman" w:hAnsi="Times New Roman" w:cs="Times New Roman"/>
          <w:sz w:val="28"/>
          <w:szCs w:val="28"/>
        </w:rPr>
        <w:t xml:space="preserve">Критерий </w:t>
      </w:r>
      <w:r w:rsidR="00C94594">
        <w:rPr>
          <w:rFonts w:ascii="Times New Roman" w:hAnsi="Times New Roman" w:cs="Times New Roman"/>
          <w:sz w:val="28"/>
          <w:szCs w:val="28"/>
          <w:lang w:val="en-US"/>
        </w:rPr>
        <w:t>AIC</w:t>
      </w:r>
      <w:r w:rsidR="00C94594" w:rsidRPr="00C94594">
        <w:rPr>
          <w:rFonts w:ascii="Times New Roman" w:hAnsi="Times New Roman" w:cs="Times New Roman"/>
          <w:sz w:val="28"/>
          <w:szCs w:val="28"/>
        </w:rPr>
        <w:t xml:space="preserve"> </w:t>
      </w:r>
      <w:r w:rsidR="00C94594">
        <w:rPr>
          <w:rFonts w:ascii="Times New Roman" w:hAnsi="Times New Roman" w:cs="Times New Roman"/>
          <w:sz w:val="28"/>
          <w:szCs w:val="28"/>
        </w:rPr>
        <w:t xml:space="preserve">сократился на 9 единиц, а критерий </w:t>
      </w:r>
      <w:r w:rsidR="00C94594">
        <w:rPr>
          <w:rFonts w:ascii="Times New Roman" w:hAnsi="Times New Roman" w:cs="Times New Roman"/>
          <w:sz w:val="28"/>
          <w:szCs w:val="28"/>
          <w:lang w:val="en-US"/>
        </w:rPr>
        <w:t>BIC</w:t>
      </w:r>
      <w:r w:rsidR="00C94594" w:rsidRPr="00C94594">
        <w:rPr>
          <w:rFonts w:ascii="Times New Roman" w:hAnsi="Times New Roman" w:cs="Times New Roman"/>
          <w:sz w:val="28"/>
          <w:szCs w:val="28"/>
        </w:rPr>
        <w:t xml:space="preserve"> </w:t>
      </w:r>
      <w:r w:rsidR="00C94594">
        <w:rPr>
          <w:rFonts w:ascii="Times New Roman" w:hAnsi="Times New Roman" w:cs="Times New Roman"/>
          <w:sz w:val="28"/>
          <w:szCs w:val="28"/>
        </w:rPr>
        <w:t>остался без изменений.</w:t>
      </w:r>
    </w:p>
    <w:p w14:paraId="007F8199" w14:textId="752D0D1C" w:rsidR="00691268" w:rsidRPr="00E6581D" w:rsidRDefault="00691268" w:rsidP="00E6581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610AC0" w:rsidRPr="00E6581D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. Оценка модели 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_3</w:t>
      </w:r>
    </w:p>
    <w:p w14:paraId="663121D1" w14:textId="52B67A05" w:rsidR="00691268" w:rsidRDefault="00C94594" w:rsidP="000D21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3EB95" wp14:editId="2ED0CB93">
            <wp:extent cx="5940425" cy="425640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29BE" w14:textId="68FE3E01" w:rsidR="000847E0" w:rsidRPr="00790892" w:rsidRDefault="000847E0" w:rsidP="00E85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модели были совмещены</w:t>
      </w:r>
      <w:r w:rsidR="003D6F65">
        <w:rPr>
          <w:rFonts w:ascii="Times New Roman" w:hAnsi="Times New Roman" w:cs="Times New Roman"/>
          <w:sz w:val="28"/>
          <w:szCs w:val="28"/>
        </w:rPr>
        <w:t xml:space="preserve"> взаимодействие переменной первого уровня и эффект на страну, а также страновая характеристика юнионизации. Модель </w:t>
      </w:r>
      <w:r w:rsidR="00B02BD2">
        <w:rPr>
          <w:rFonts w:ascii="Times New Roman" w:hAnsi="Times New Roman" w:cs="Times New Roman"/>
          <w:sz w:val="28"/>
          <w:szCs w:val="28"/>
        </w:rPr>
        <w:t xml:space="preserve">несколько теряет </w:t>
      </w:r>
      <w:r w:rsidR="003D6F65">
        <w:rPr>
          <w:rFonts w:ascii="Times New Roman" w:hAnsi="Times New Roman" w:cs="Times New Roman"/>
          <w:sz w:val="28"/>
          <w:szCs w:val="28"/>
        </w:rPr>
        <w:t>значимост</w:t>
      </w:r>
      <w:r w:rsidR="00B02BD2">
        <w:rPr>
          <w:rFonts w:ascii="Times New Roman" w:hAnsi="Times New Roman" w:cs="Times New Roman"/>
          <w:sz w:val="28"/>
          <w:szCs w:val="28"/>
        </w:rPr>
        <w:t xml:space="preserve">ь </w:t>
      </w:r>
      <w:r w:rsidR="00B02BD2">
        <w:rPr>
          <w:rFonts w:ascii="Times New Roman" w:hAnsi="Times New Roman" w:cs="Times New Roman"/>
          <w:sz w:val="28"/>
          <w:szCs w:val="28"/>
          <w:lang w:val="en-US"/>
        </w:rPr>
        <w:t>wkhct</w:t>
      </w:r>
      <w:r w:rsidR="00B02BD2">
        <w:rPr>
          <w:rFonts w:ascii="Times New Roman" w:hAnsi="Times New Roman" w:cs="Times New Roman"/>
          <w:sz w:val="28"/>
          <w:szCs w:val="28"/>
        </w:rPr>
        <w:t>, но предиктор остаётся значим на уровне 0.01</w:t>
      </w:r>
      <w:r w:rsidR="00306CAF">
        <w:rPr>
          <w:rFonts w:ascii="Times New Roman" w:hAnsi="Times New Roman" w:cs="Times New Roman"/>
          <w:sz w:val="28"/>
          <w:szCs w:val="28"/>
        </w:rPr>
        <w:t xml:space="preserve"> и</w:t>
      </w:r>
      <w:r w:rsidR="00B02BD2">
        <w:rPr>
          <w:rFonts w:ascii="Times New Roman" w:hAnsi="Times New Roman" w:cs="Times New Roman"/>
          <w:sz w:val="28"/>
          <w:szCs w:val="28"/>
        </w:rPr>
        <w:t xml:space="preserve"> не теряет </w:t>
      </w:r>
      <w:r w:rsidR="003D6F65">
        <w:rPr>
          <w:rFonts w:ascii="Times New Roman" w:hAnsi="Times New Roman" w:cs="Times New Roman"/>
          <w:sz w:val="28"/>
          <w:szCs w:val="28"/>
        </w:rPr>
        <w:t>направлени</w:t>
      </w:r>
      <w:r w:rsidR="00B02BD2">
        <w:rPr>
          <w:rFonts w:ascii="Times New Roman" w:hAnsi="Times New Roman" w:cs="Times New Roman"/>
          <w:sz w:val="28"/>
          <w:szCs w:val="28"/>
        </w:rPr>
        <w:t>я коэффициента</w:t>
      </w:r>
      <w:r w:rsidR="003D6F65">
        <w:rPr>
          <w:rFonts w:ascii="Times New Roman" w:hAnsi="Times New Roman" w:cs="Times New Roman"/>
          <w:sz w:val="28"/>
          <w:szCs w:val="28"/>
        </w:rPr>
        <w:t>.</w:t>
      </w:r>
      <w:r w:rsidR="00B02BD2">
        <w:rPr>
          <w:rFonts w:ascii="Times New Roman" w:hAnsi="Times New Roman" w:cs="Times New Roman"/>
          <w:sz w:val="28"/>
          <w:szCs w:val="28"/>
        </w:rPr>
        <w:t xml:space="preserve"> </w:t>
      </w:r>
      <w:r w:rsidR="00B02BD2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="00B02BD2" w:rsidRPr="00B02BD2">
        <w:rPr>
          <w:rFonts w:ascii="Times New Roman" w:hAnsi="Times New Roman" w:cs="Times New Roman"/>
          <w:sz w:val="28"/>
          <w:szCs w:val="28"/>
        </w:rPr>
        <w:t xml:space="preserve"> </w:t>
      </w:r>
      <w:r w:rsidR="00B02BD2">
        <w:rPr>
          <w:rFonts w:ascii="Times New Roman" w:hAnsi="Times New Roman" w:cs="Times New Roman"/>
          <w:sz w:val="28"/>
          <w:szCs w:val="28"/>
        </w:rPr>
        <w:t xml:space="preserve">остаётся положительно значим на том же уровне, что и в </w:t>
      </w:r>
      <w:r w:rsidR="00B02BD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02BD2" w:rsidRPr="00B02BD2">
        <w:rPr>
          <w:rFonts w:ascii="Times New Roman" w:hAnsi="Times New Roman" w:cs="Times New Roman"/>
          <w:sz w:val="28"/>
          <w:szCs w:val="28"/>
        </w:rPr>
        <w:t>_3.</w:t>
      </w:r>
      <w:r w:rsidR="003D6F65">
        <w:rPr>
          <w:rFonts w:ascii="Times New Roman" w:hAnsi="Times New Roman" w:cs="Times New Roman"/>
          <w:sz w:val="28"/>
          <w:szCs w:val="28"/>
        </w:rPr>
        <w:t xml:space="preserve"> </w:t>
      </w:r>
      <w:r w:rsidR="00790892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790892" w:rsidRPr="00790892">
        <w:rPr>
          <w:rFonts w:ascii="Times New Roman" w:hAnsi="Times New Roman" w:cs="Times New Roman"/>
          <w:sz w:val="28"/>
          <w:szCs w:val="28"/>
        </w:rPr>
        <w:t xml:space="preserve"> </w:t>
      </w:r>
      <w:r w:rsidR="00790892">
        <w:rPr>
          <w:rFonts w:ascii="Times New Roman" w:hAnsi="Times New Roman" w:cs="Times New Roman"/>
          <w:sz w:val="28"/>
          <w:szCs w:val="28"/>
        </w:rPr>
        <w:t xml:space="preserve">на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892" w:rsidRPr="00790892">
        <w:rPr>
          <w:rFonts w:ascii="Times New Roman" w:hAnsi="Times New Roman" w:cs="Times New Roman"/>
          <w:sz w:val="28"/>
          <w:szCs w:val="28"/>
        </w:rPr>
        <w:t xml:space="preserve">_3 </w:t>
      </w:r>
      <w:r w:rsidR="00790892">
        <w:rPr>
          <w:rFonts w:ascii="Times New Roman" w:hAnsi="Times New Roman" w:cs="Times New Roman"/>
          <w:sz w:val="28"/>
          <w:szCs w:val="28"/>
        </w:rPr>
        <w:t xml:space="preserve">и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892" w:rsidRPr="00790892">
        <w:rPr>
          <w:rFonts w:ascii="Times New Roman" w:hAnsi="Times New Roman" w:cs="Times New Roman"/>
          <w:sz w:val="28"/>
          <w:szCs w:val="28"/>
        </w:rPr>
        <w:t>_4</w:t>
      </w:r>
      <w:r w:rsidR="00790892">
        <w:rPr>
          <w:rFonts w:ascii="Times New Roman" w:hAnsi="Times New Roman" w:cs="Times New Roman"/>
          <w:sz w:val="28"/>
          <w:szCs w:val="28"/>
        </w:rPr>
        <w:t xml:space="preserve"> </w:t>
      </w:r>
      <w:r w:rsidR="00790892" w:rsidRPr="00790892">
        <w:rPr>
          <w:rFonts w:ascii="Times New Roman" w:hAnsi="Times New Roman" w:cs="Times New Roman"/>
          <w:i/>
          <w:iCs/>
          <w:sz w:val="28"/>
          <w:szCs w:val="28"/>
        </w:rPr>
        <w:t>(Приложение 4)</w:t>
      </w:r>
      <w:r w:rsidR="00790892" w:rsidRPr="00790892">
        <w:rPr>
          <w:rFonts w:ascii="Times New Roman" w:hAnsi="Times New Roman" w:cs="Times New Roman"/>
          <w:sz w:val="28"/>
          <w:szCs w:val="28"/>
        </w:rPr>
        <w:t xml:space="preserve"> </w:t>
      </w:r>
      <w:r w:rsidR="00790892">
        <w:rPr>
          <w:rFonts w:ascii="Times New Roman" w:hAnsi="Times New Roman" w:cs="Times New Roman"/>
          <w:sz w:val="28"/>
          <w:szCs w:val="28"/>
        </w:rPr>
        <w:t xml:space="preserve">показывает, что нам лучше предпочесть более экономную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892" w:rsidRPr="00790892">
        <w:rPr>
          <w:rFonts w:ascii="Times New Roman" w:hAnsi="Times New Roman" w:cs="Times New Roman"/>
          <w:sz w:val="28"/>
          <w:szCs w:val="28"/>
        </w:rPr>
        <w:t>_3</w:t>
      </w:r>
      <w:r w:rsidR="00790892">
        <w:rPr>
          <w:rFonts w:ascii="Times New Roman" w:hAnsi="Times New Roman" w:cs="Times New Roman"/>
          <w:sz w:val="28"/>
          <w:szCs w:val="28"/>
        </w:rPr>
        <w:t xml:space="preserve"> (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AIC</w:t>
      </w:r>
      <w:r w:rsidR="00790892" w:rsidRPr="00790892">
        <w:rPr>
          <w:rFonts w:ascii="Times New Roman" w:hAnsi="Times New Roman" w:cs="Times New Roman"/>
          <w:sz w:val="28"/>
          <w:szCs w:val="28"/>
        </w:rPr>
        <w:t xml:space="preserve"> </w:t>
      </w:r>
      <w:r w:rsidR="00790892">
        <w:rPr>
          <w:rFonts w:ascii="Times New Roman" w:hAnsi="Times New Roman" w:cs="Times New Roman"/>
          <w:sz w:val="28"/>
          <w:szCs w:val="28"/>
        </w:rPr>
        <w:t xml:space="preserve">и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BIC</w:t>
      </w:r>
      <w:r w:rsidR="00790892" w:rsidRPr="00790892">
        <w:rPr>
          <w:rFonts w:ascii="Times New Roman" w:hAnsi="Times New Roman" w:cs="Times New Roman"/>
          <w:sz w:val="28"/>
          <w:szCs w:val="28"/>
        </w:rPr>
        <w:t xml:space="preserve"> </w:t>
      </w:r>
      <w:r w:rsidR="00790892">
        <w:rPr>
          <w:rFonts w:ascii="Times New Roman" w:hAnsi="Times New Roman" w:cs="Times New Roman"/>
          <w:sz w:val="28"/>
          <w:szCs w:val="28"/>
        </w:rPr>
        <w:t xml:space="preserve">изменяются на 2 и 19 </w:t>
      </w:r>
      <w:r w:rsidR="00790892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соответственно), но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790892" w:rsidRPr="00790892">
        <w:rPr>
          <w:rFonts w:ascii="Times New Roman" w:hAnsi="Times New Roman" w:cs="Times New Roman"/>
          <w:sz w:val="28"/>
          <w:szCs w:val="28"/>
        </w:rPr>
        <w:t xml:space="preserve">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892" w:rsidRPr="00790892">
        <w:rPr>
          <w:rFonts w:ascii="Times New Roman" w:hAnsi="Times New Roman" w:cs="Times New Roman"/>
          <w:sz w:val="28"/>
          <w:szCs w:val="28"/>
        </w:rPr>
        <w:t xml:space="preserve">_1 </w:t>
      </w:r>
      <w:r w:rsidR="00790892">
        <w:rPr>
          <w:rFonts w:ascii="Times New Roman" w:hAnsi="Times New Roman" w:cs="Times New Roman"/>
          <w:sz w:val="28"/>
          <w:szCs w:val="28"/>
        </w:rPr>
        <w:t xml:space="preserve">и </w:t>
      </w:r>
      <w:r w:rsidR="0079089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892" w:rsidRPr="00790892">
        <w:rPr>
          <w:rFonts w:ascii="Times New Roman" w:hAnsi="Times New Roman" w:cs="Times New Roman"/>
          <w:sz w:val="28"/>
          <w:szCs w:val="28"/>
        </w:rPr>
        <w:t>_</w:t>
      </w:r>
      <w:r w:rsidR="00790892">
        <w:rPr>
          <w:rFonts w:ascii="Times New Roman" w:hAnsi="Times New Roman" w:cs="Times New Roman"/>
          <w:sz w:val="28"/>
          <w:szCs w:val="28"/>
        </w:rPr>
        <w:t xml:space="preserve">4 </w:t>
      </w:r>
      <w:r w:rsidR="00790892" w:rsidRPr="00790892">
        <w:rPr>
          <w:rFonts w:ascii="Times New Roman" w:hAnsi="Times New Roman" w:cs="Times New Roman"/>
          <w:i/>
          <w:iCs/>
          <w:sz w:val="28"/>
          <w:szCs w:val="28"/>
        </w:rPr>
        <w:t>(Приложение 5)</w:t>
      </w:r>
      <w:r w:rsidR="00790892">
        <w:rPr>
          <w:rFonts w:ascii="Times New Roman" w:hAnsi="Times New Roman" w:cs="Times New Roman"/>
          <w:sz w:val="28"/>
          <w:szCs w:val="28"/>
        </w:rPr>
        <w:t xml:space="preserve"> свидетельствуют о предпочтении менее экономной модели 4. </w:t>
      </w:r>
    </w:p>
    <w:p w14:paraId="434F9DD0" w14:textId="74906A1A" w:rsidR="000847E0" w:rsidRPr="00E6581D" w:rsidRDefault="000847E0" w:rsidP="00E6581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610AC0" w:rsidRPr="00E6581D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. Оценка модели 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_4.</w:t>
      </w:r>
    </w:p>
    <w:p w14:paraId="63D2680B" w14:textId="4AD986CA" w:rsidR="000847E0" w:rsidRDefault="00B02BD2" w:rsidP="000D21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14C788" wp14:editId="3B0D5713">
            <wp:extent cx="5940425" cy="460692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0AE" w14:textId="62068B0A" w:rsidR="000D2148" w:rsidRDefault="000D2148" w:rsidP="000D21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пятой модели протестируем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D214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2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положительном взаимодействии количества рабочих часов </w:t>
      </w:r>
      <w:r w:rsidR="008A41F6">
        <w:rPr>
          <w:rFonts w:ascii="Times New Roman" w:hAnsi="Times New Roman" w:cs="Times New Roman"/>
          <w:sz w:val="28"/>
          <w:szCs w:val="28"/>
        </w:rPr>
        <w:t xml:space="preserve">и юнионизации. Как можно заметить, теряется вовсе значимость у предиктора на первом уровне. На втором уровне значимость ключевого предиктора снижается до порогового 0.05. </w:t>
      </w:r>
      <w:r w:rsidR="006C0BBC">
        <w:rPr>
          <w:rFonts w:ascii="Times New Roman" w:hAnsi="Times New Roman" w:cs="Times New Roman"/>
          <w:sz w:val="28"/>
          <w:szCs w:val="28"/>
        </w:rPr>
        <w:t xml:space="preserve">Контрольные переменные также теряют свою значимость. </w:t>
      </w:r>
      <w:r w:rsidR="006C0BBC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6C0BBC" w:rsidRPr="006C0BBC">
        <w:rPr>
          <w:rFonts w:ascii="Times New Roman" w:hAnsi="Times New Roman" w:cs="Times New Roman"/>
          <w:sz w:val="28"/>
          <w:szCs w:val="28"/>
        </w:rPr>
        <w:t xml:space="preserve"> </w:t>
      </w:r>
      <w:r w:rsidR="006C0BB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C0BBC" w:rsidRPr="00306CAF">
        <w:rPr>
          <w:rFonts w:ascii="Times New Roman" w:hAnsi="Times New Roman" w:cs="Times New Roman"/>
          <w:i/>
          <w:iCs/>
          <w:sz w:val="28"/>
          <w:szCs w:val="28"/>
        </w:rPr>
        <w:t>(Приложение 6)</w:t>
      </w:r>
      <w:r w:rsidR="006C0BBC">
        <w:rPr>
          <w:rFonts w:ascii="Times New Roman" w:hAnsi="Times New Roman" w:cs="Times New Roman"/>
          <w:sz w:val="28"/>
          <w:szCs w:val="28"/>
        </w:rPr>
        <w:t xml:space="preserve"> даёт сильное свидетельство в пользу отказа от более крупной модели </w:t>
      </w:r>
      <w:r w:rsidR="006C0BB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C0BBC" w:rsidRPr="006C0BBC">
        <w:rPr>
          <w:rFonts w:ascii="Times New Roman" w:hAnsi="Times New Roman" w:cs="Times New Roman"/>
          <w:sz w:val="28"/>
          <w:szCs w:val="28"/>
        </w:rPr>
        <w:t>_5.</w:t>
      </w:r>
      <w:r w:rsidR="006C0B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0E895" w14:textId="13B76FD4" w:rsidR="00E6581D" w:rsidRDefault="00E6581D" w:rsidP="000D21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9C75E" w14:textId="4C72598F" w:rsidR="00E6581D" w:rsidRDefault="00E6581D" w:rsidP="000D21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98E4" w14:textId="77777777" w:rsidR="00E6581D" w:rsidRPr="006C0BBC" w:rsidRDefault="00E6581D" w:rsidP="000D21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65999" w14:textId="2CC3B36E" w:rsidR="000D2148" w:rsidRPr="00E6581D" w:rsidRDefault="000D2148" w:rsidP="00E6581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6581D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Таблица </w:t>
      </w:r>
      <w:r w:rsidR="00610AC0" w:rsidRPr="00E6581D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. Оценка модели 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_5.</w:t>
      </w:r>
    </w:p>
    <w:p w14:paraId="571B4D38" w14:textId="71E0F08D" w:rsidR="000D2148" w:rsidRPr="000D2148" w:rsidRDefault="008A41F6" w:rsidP="008A41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932B4" wp14:editId="31A00F78">
            <wp:extent cx="5940425" cy="45618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BEEA" w14:textId="651049C7" w:rsidR="00BA4140" w:rsidRDefault="00BA4140" w:rsidP="00A72B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A4140">
        <w:rPr>
          <w:rFonts w:ascii="Times New Roman" w:hAnsi="Times New Roman" w:cs="Times New Roman"/>
          <w:sz w:val="28"/>
          <w:szCs w:val="28"/>
        </w:rPr>
        <w:t xml:space="preserve">_1 </w:t>
      </w:r>
      <w:r w:rsidR="002A27DD">
        <w:rPr>
          <w:rFonts w:ascii="Times New Roman" w:hAnsi="Times New Roman" w:cs="Times New Roman"/>
          <w:sz w:val="28"/>
          <w:szCs w:val="28"/>
        </w:rPr>
        <w:t>подтверждает</w:t>
      </w:r>
      <w:r>
        <w:rPr>
          <w:rFonts w:ascii="Times New Roman" w:hAnsi="Times New Roman" w:cs="Times New Roman"/>
          <w:sz w:val="28"/>
          <w:szCs w:val="28"/>
        </w:rPr>
        <w:t xml:space="preserve"> перв</w:t>
      </w:r>
      <w:r w:rsidR="002A27DD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гипотез</w:t>
      </w:r>
      <w:r w:rsidR="002A27D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о том, что продолжительность рабочих часов положительно связана с удовлетворённостью жизнью. </w:t>
      </w:r>
      <w:r w:rsidRPr="00BA4140">
        <w:rPr>
          <w:rFonts w:ascii="Times New Roman" w:hAnsi="Times New Roman" w:cs="Times New Roman"/>
          <w:sz w:val="28"/>
          <w:szCs w:val="28"/>
        </w:rPr>
        <w:t xml:space="preserve"> </w:t>
      </w:r>
      <w:r w:rsidR="002A27D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A27D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2A27DD" w:rsidRPr="002A27DD">
        <w:rPr>
          <w:rFonts w:ascii="Times New Roman" w:hAnsi="Times New Roman" w:cs="Times New Roman"/>
          <w:sz w:val="28"/>
          <w:szCs w:val="28"/>
        </w:rPr>
        <w:t>_</w:t>
      </w:r>
      <w:r w:rsidR="002A27DD">
        <w:rPr>
          <w:rFonts w:ascii="Times New Roman" w:hAnsi="Times New Roman" w:cs="Times New Roman"/>
          <w:sz w:val="28"/>
          <w:szCs w:val="28"/>
        </w:rPr>
        <w:t xml:space="preserve">3 подтверждает гипотезу </w:t>
      </w:r>
      <w:r w:rsidR="002A27D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A27DD" w:rsidRPr="002A27DD">
        <w:rPr>
          <w:rFonts w:ascii="Times New Roman" w:hAnsi="Times New Roman" w:cs="Times New Roman"/>
          <w:sz w:val="28"/>
          <w:szCs w:val="28"/>
        </w:rPr>
        <w:t>2</w:t>
      </w:r>
      <w:r w:rsidR="002A27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27DD" w:rsidRPr="002A27DD">
        <w:rPr>
          <w:rFonts w:ascii="Times New Roman" w:hAnsi="Times New Roman" w:cs="Times New Roman"/>
          <w:sz w:val="28"/>
          <w:szCs w:val="28"/>
        </w:rPr>
        <w:t xml:space="preserve"> </w:t>
      </w:r>
      <w:r w:rsidR="002A27DD">
        <w:rPr>
          <w:rFonts w:ascii="Times New Roman" w:hAnsi="Times New Roman" w:cs="Times New Roman"/>
          <w:sz w:val="28"/>
          <w:szCs w:val="28"/>
        </w:rPr>
        <w:t>об увеличении удовлетворённостью жизнью в целом при увеличении юнионизации.</w:t>
      </w:r>
      <w:r w:rsidR="00485D8E" w:rsidRPr="00485D8E">
        <w:rPr>
          <w:rFonts w:ascii="Times New Roman" w:hAnsi="Times New Roman" w:cs="Times New Roman"/>
          <w:sz w:val="28"/>
          <w:szCs w:val="28"/>
        </w:rPr>
        <w:t xml:space="preserve"> </w:t>
      </w:r>
      <w:r w:rsidR="00485D8E">
        <w:rPr>
          <w:rFonts w:ascii="Times New Roman" w:hAnsi="Times New Roman" w:cs="Times New Roman"/>
          <w:sz w:val="28"/>
          <w:szCs w:val="28"/>
        </w:rPr>
        <w:t>Модели 2, 4 и 5 оказались незначимы, что отрицает взаимосвязь межгрупповой изменчивости и предиктора на индивидуальном уровне. Оценки ключевого предиктора первого уровня на всех предпочтительных моделях оказываются значимы на одном высоком уровне</w:t>
      </w:r>
      <w:r w:rsidR="00CA6BE1">
        <w:rPr>
          <w:rFonts w:ascii="Times New Roman" w:hAnsi="Times New Roman" w:cs="Times New Roman"/>
          <w:sz w:val="28"/>
          <w:szCs w:val="28"/>
        </w:rPr>
        <w:t xml:space="preserve"> и положительно взаимосвязаны с удовлетворённостью жизнью в целом.</w:t>
      </w:r>
      <w:r w:rsidR="00485D8E">
        <w:rPr>
          <w:rFonts w:ascii="Times New Roman" w:hAnsi="Times New Roman" w:cs="Times New Roman"/>
          <w:sz w:val="28"/>
          <w:szCs w:val="28"/>
        </w:rPr>
        <w:t xml:space="preserve"> В </w:t>
      </w:r>
      <w:r w:rsidR="00485D8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85D8E" w:rsidRPr="00485D8E">
        <w:rPr>
          <w:rFonts w:ascii="Times New Roman" w:hAnsi="Times New Roman" w:cs="Times New Roman"/>
          <w:sz w:val="28"/>
          <w:szCs w:val="28"/>
        </w:rPr>
        <w:t xml:space="preserve">_3 </w:t>
      </w:r>
      <w:r w:rsidR="00485D8E">
        <w:rPr>
          <w:rFonts w:ascii="Times New Roman" w:hAnsi="Times New Roman" w:cs="Times New Roman"/>
          <w:sz w:val="28"/>
          <w:szCs w:val="28"/>
        </w:rPr>
        <w:t xml:space="preserve">ключевой предиктор на втором уровне оказывается значим </w:t>
      </w:r>
      <w:r w:rsidR="00A72B97">
        <w:rPr>
          <w:rFonts w:ascii="Times New Roman" w:hAnsi="Times New Roman" w:cs="Times New Roman"/>
          <w:sz w:val="28"/>
          <w:szCs w:val="28"/>
        </w:rPr>
        <w:t xml:space="preserve">на уровне 0.01 и также положительно связан с зависимой переменной. </w:t>
      </w:r>
      <w:r w:rsidR="00A72B9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A72B97" w:rsidRPr="00A72B97">
        <w:rPr>
          <w:rFonts w:ascii="Times New Roman" w:hAnsi="Times New Roman" w:cs="Times New Roman"/>
          <w:sz w:val="28"/>
          <w:szCs w:val="28"/>
        </w:rPr>
        <w:t xml:space="preserve">_3 </w:t>
      </w:r>
      <w:r w:rsidR="00A72B97">
        <w:rPr>
          <w:rFonts w:ascii="Times New Roman" w:hAnsi="Times New Roman" w:cs="Times New Roman"/>
          <w:sz w:val="28"/>
          <w:szCs w:val="28"/>
        </w:rPr>
        <w:t xml:space="preserve">позволяет нам интерпретировать оценки коэффициентов при ключевых предикторах. Коэффициент при переменной </w:t>
      </w:r>
      <w:r w:rsidR="00A72B97">
        <w:rPr>
          <w:rFonts w:ascii="Times New Roman" w:hAnsi="Times New Roman" w:cs="Times New Roman"/>
          <w:sz w:val="28"/>
          <w:szCs w:val="28"/>
          <w:lang w:val="en-US"/>
        </w:rPr>
        <w:t>wkhct</w:t>
      </w:r>
      <w:r w:rsidR="00A72B97" w:rsidRPr="00A72B97">
        <w:rPr>
          <w:rFonts w:ascii="Times New Roman" w:hAnsi="Times New Roman" w:cs="Times New Roman"/>
          <w:sz w:val="28"/>
          <w:szCs w:val="28"/>
        </w:rPr>
        <w:t xml:space="preserve"> </w:t>
      </w:r>
      <w:r w:rsidR="00A72B97">
        <w:rPr>
          <w:rFonts w:ascii="Times New Roman" w:hAnsi="Times New Roman" w:cs="Times New Roman"/>
          <w:sz w:val="28"/>
          <w:szCs w:val="28"/>
        </w:rPr>
        <w:t xml:space="preserve">показывает, что в среднем и при прочих равных при увеличении логарифма количества рабочих часов на единицу </w:t>
      </w:r>
      <w:r w:rsidR="00A72B97">
        <w:rPr>
          <w:rFonts w:ascii="Times New Roman" w:hAnsi="Times New Roman" w:cs="Times New Roman"/>
          <w:sz w:val="28"/>
          <w:szCs w:val="28"/>
        </w:rPr>
        <w:lastRenderedPageBreak/>
        <w:t>удовлетворённость жизнь в целом растёт на 1.101</w:t>
      </w:r>
      <w:r w:rsidR="00A72B9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72B97" w:rsidRPr="00A72B97">
        <w:rPr>
          <w:rFonts w:ascii="Times New Roman" w:hAnsi="Times New Roman" w:cs="Times New Roman"/>
          <w:sz w:val="28"/>
          <w:szCs w:val="28"/>
        </w:rPr>
        <w:t xml:space="preserve">^-01. </w:t>
      </w:r>
      <w:r w:rsidR="00A72B97">
        <w:rPr>
          <w:rFonts w:ascii="Times New Roman" w:hAnsi="Times New Roman" w:cs="Times New Roman"/>
          <w:sz w:val="28"/>
          <w:szCs w:val="28"/>
        </w:rPr>
        <w:t xml:space="preserve">Коэффициент при </w:t>
      </w:r>
      <w:r w:rsidR="00A72B97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="00A72B97" w:rsidRPr="00A72B97">
        <w:rPr>
          <w:rFonts w:ascii="Times New Roman" w:hAnsi="Times New Roman" w:cs="Times New Roman"/>
          <w:sz w:val="28"/>
          <w:szCs w:val="28"/>
        </w:rPr>
        <w:t xml:space="preserve"> </w:t>
      </w:r>
      <w:r w:rsidR="00A72B97">
        <w:rPr>
          <w:rFonts w:ascii="Times New Roman" w:hAnsi="Times New Roman" w:cs="Times New Roman"/>
          <w:sz w:val="28"/>
          <w:szCs w:val="28"/>
        </w:rPr>
        <w:t>показывает, что при увеличении в среднем при прочих равных на единицу степени юнионизации удовлетворённость жизнью в целом растёт на 2.091</w:t>
      </w:r>
      <w:r w:rsidR="00A72B9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72B97" w:rsidRPr="00A72B97">
        <w:rPr>
          <w:rFonts w:ascii="Times New Roman" w:hAnsi="Times New Roman" w:cs="Times New Roman"/>
          <w:sz w:val="28"/>
          <w:szCs w:val="28"/>
        </w:rPr>
        <w:t>-02.</w:t>
      </w:r>
    </w:p>
    <w:p w14:paraId="3CEB4729" w14:textId="77777777" w:rsidR="00E6581D" w:rsidRPr="00A72B97" w:rsidRDefault="00E6581D" w:rsidP="00A72B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4822C" w14:textId="28083EE0" w:rsidR="00A53925" w:rsidRPr="00E6581D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t>Проверка на устойчивость</w:t>
      </w:r>
    </w:p>
    <w:p w14:paraId="22FC8311" w14:textId="5AB77A2A" w:rsidR="003D6F65" w:rsidRDefault="003D6F65" w:rsidP="00332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модель на устойчивость, меняя массив входных данных. Изначально нам было дан массив с данными, в которых довольно много, казалось бы, аномальных значений - количество часов недельной работы больше 50-60 вплоть до 168. Подобных наблюдений с такими значениями довольно немного, но удалим их и переоценим полученную модель.</w:t>
      </w:r>
    </w:p>
    <w:p w14:paraId="6B4C9D5F" w14:textId="793244D4" w:rsidR="003D6F65" w:rsidRPr="00E6581D" w:rsidRDefault="003D6F65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610AC0" w:rsidRPr="00E6581D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. Оценка модели 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6C0473" w:rsidRPr="00E6581D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BD67AC5" w14:textId="440D456C" w:rsidR="003D6F65" w:rsidRDefault="00524F64" w:rsidP="006C04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D295C" wp14:editId="091E73D1">
            <wp:extent cx="5940425" cy="421386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F1BD" w14:textId="22FEC7C8" w:rsidR="003322F8" w:rsidRPr="00524F64" w:rsidRDefault="00CE47BA" w:rsidP="00332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Переоценка модели на </w:t>
      </w:r>
      <w:r w:rsidR="00E660E5">
        <w:rPr>
          <w:rFonts w:ascii="Times New Roman" w:hAnsi="Times New Roman" w:cs="Times New Roman"/>
          <w:sz w:val="28"/>
          <w:szCs w:val="28"/>
        </w:rPr>
        <w:t xml:space="preserve">данных без </w:t>
      </w:r>
      <w:r w:rsidR="00725D2C">
        <w:rPr>
          <w:rFonts w:ascii="Times New Roman" w:hAnsi="Times New Roman" w:cs="Times New Roman"/>
          <w:sz w:val="28"/>
          <w:szCs w:val="28"/>
        </w:rPr>
        <w:t>экстраординарных</w:t>
      </w:r>
      <w:r w:rsidR="00E660E5">
        <w:rPr>
          <w:rFonts w:ascii="Times New Roman" w:hAnsi="Times New Roman" w:cs="Times New Roman"/>
          <w:sz w:val="28"/>
          <w:szCs w:val="28"/>
        </w:rPr>
        <w:t xml:space="preserve"> случаев </w:t>
      </w:r>
      <w:r w:rsidR="00524F64">
        <w:rPr>
          <w:rFonts w:ascii="Times New Roman" w:hAnsi="Times New Roman" w:cs="Times New Roman"/>
          <w:sz w:val="28"/>
          <w:szCs w:val="28"/>
        </w:rPr>
        <w:t xml:space="preserve">не привела к снижению значимости ни одного из ключевых предикторов ни на первом, ни </w:t>
      </w:r>
      <w:r w:rsidR="00524F64">
        <w:rPr>
          <w:rFonts w:ascii="Times New Roman" w:hAnsi="Times New Roman" w:cs="Times New Roman"/>
          <w:sz w:val="28"/>
          <w:szCs w:val="28"/>
        </w:rPr>
        <w:lastRenderedPageBreak/>
        <w:t xml:space="preserve">на втором уровне. Контрольные переменные сохранили свою значимость. </w:t>
      </w:r>
      <w:r w:rsidR="00524F64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524F64" w:rsidRPr="00524F64">
        <w:rPr>
          <w:rFonts w:ascii="Times New Roman" w:hAnsi="Times New Roman" w:cs="Times New Roman"/>
          <w:sz w:val="28"/>
          <w:szCs w:val="28"/>
        </w:rPr>
        <w:t xml:space="preserve"> </w:t>
      </w:r>
      <w:r w:rsidR="00524F6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4F64" w:rsidRPr="00524F64">
        <w:rPr>
          <w:rFonts w:ascii="Times New Roman" w:hAnsi="Times New Roman" w:cs="Times New Roman"/>
          <w:i/>
          <w:iCs/>
          <w:sz w:val="28"/>
          <w:szCs w:val="28"/>
        </w:rPr>
        <w:t xml:space="preserve">(Приложение </w:t>
      </w:r>
      <w:r w:rsidR="00524F64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="00524F64" w:rsidRPr="00524F6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524F64">
        <w:rPr>
          <w:rFonts w:ascii="Times New Roman" w:hAnsi="Times New Roman" w:cs="Times New Roman"/>
          <w:sz w:val="28"/>
          <w:szCs w:val="28"/>
        </w:rPr>
        <w:t xml:space="preserve"> на новых данных также демонстрирует предпочтение более крупной </w:t>
      </w:r>
      <w:r w:rsidR="00524F6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24F64" w:rsidRPr="00524F64">
        <w:rPr>
          <w:rFonts w:ascii="Times New Roman" w:hAnsi="Times New Roman" w:cs="Times New Roman"/>
          <w:sz w:val="28"/>
          <w:szCs w:val="28"/>
        </w:rPr>
        <w:t>_3</w:t>
      </w:r>
      <w:r w:rsidR="00524F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4F64">
        <w:rPr>
          <w:rFonts w:ascii="Times New Roman" w:hAnsi="Times New Roman" w:cs="Times New Roman"/>
          <w:sz w:val="28"/>
          <w:szCs w:val="28"/>
        </w:rPr>
        <w:t>, чем более экономной.</w:t>
      </w:r>
      <w:r w:rsidR="006C0473">
        <w:rPr>
          <w:rFonts w:ascii="Times New Roman" w:hAnsi="Times New Roman" w:cs="Times New Roman"/>
          <w:sz w:val="28"/>
          <w:szCs w:val="28"/>
        </w:rPr>
        <w:t xml:space="preserve"> </w:t>
      </w:r>
      <w:r w:rsidR="00524F64">
        <w:rPr>
          <w:rFonts w:ascii="Times New Roman" w:hAnsi="Times New Roman" w:cs="Times New Roman"/>
          <w:sz w:val="28"/>
          <w:szCs w:val="28"/>
        </w:rPr>
        <w:t>Переоценка без аномальных данных не привела к иному результату.</w:t>
      </w:r>
    </w:p>
    <w:p w14:paraId="2D778DFB" w14:textId="6124F5B2" w:rsidR="00E660E5" w:rsidRDefault="00E660E5" w:rsidP="00332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переоценить модель на несколько другой ключевой переменной. Она будет отражать </w:t>
      </w:r>
      <w:r w:rsidR="00524F64">
        <w:rPr>
          <w:rFonts w:ascii="Times New Roman" w:hAnsi="Times New Roman" w:cs="Times New Roman"/>
          <w:sz w:val="28"/>
          <w:szCs w:val="28"/>
        </w:rPr>
        <w:t>количество часов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24F64">
        <w:rPr>
          <w:rFonts w:ascii="Times New Roman" w:hAnsi="Times New Roman" w:cs="Times New Roman"/>
          <w:sz w:val="28"/>
          <w:szCs w:val="28"/>
        </w:rPr>
        <w:t>с учётом</w:t>
      </w:r>
      <w:r>
        <w:rPr>
          <w:rFonts w:ascii="Times New Roman" w:hAnsi="Times New Roman" w:cs="Times New Roman"/>
          <w:sz w:val="28"/>
          <w:szCs w:val="28"/>
        </w:rPr>
        <w:t xml:space="preserve"> оплачиваемых и неоплачиваемых переработок. </w:t>
      </w:r>
    </w:p>
    <w:p w14:paraId="689524BF" w14:textId="1EEEFA5A" w:rsidR="00E660E5" w:rsidRPr="00E6581D" w:rsidRDefault="00E660E5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610AC0" w:rsidRPr="00E6581D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. Оценка модели 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524F64" w:rsidRPr="00E6581D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B975D1" w14:textId="4B21ED58" w:rsidR="00E660E5" w:rsidRDefault="00524F64" w:rsidP="00524F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B285A" wp14:editId="3BCC29E4">
            <wp:extent cx="5940425" cy="42741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4DBC" w14:textId="59128F7D" w:rsidR="00E660E5" w:rsidRDefault="00E660E5" w:rsidP="00332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Переоценка привела </w:t>
      </w:r>
      <w:r w:rsidR="00524F64">
        <w:rPr>
          <w:rFonts w:ascii="Times New Roman" w:hAnsi="Times New Roman" w:cs="Times New Roman"/>
          <w:sz w:val="28"/>
          <w:szCs w:val="28"/>
        </w:rPr>
        <w:t>к уменьшению значимости ключевого предиктора на первом уровне, однако он остался значительным на уровне 0.05. Коэффициент при уровне юнионизации не снизился. Направление взаимосвязи при всех предикторах сохранилось и осталось положительным с зависимой переменной.</w:t>
      </w:r>
    </w:p>
    <w:p w14:paraId="3700D987" w14:textId="601B8493" w:rsidR="000B5B94" w:rsidRPr="00994F30" w:rsidRDefault="00FB7E91" w:rsidP="00332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Проведём</w:t>
      </w:r>
      <w:r w:rsidR="000B5B94">
        <w:rPr>
          <w:rFonts w:ascii="Times New Roman" w:hAnsi="Times New Roman" w:cs="Times New Roman"/>
          <w:sz w:val="28"/>
          <w:szCs w:val="28"/>
        </w:rPr>
        <w:t xml:space="preserve"> тест на возможные влиятельные наблюдения. </w:t>
      </w:r>
      <w:r w:rsidR="00251C86"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="00251C86">
        <w:rPr>
          <w:rFonts w:ascii="Times New Roman" w:hAnsi="Times New Roman" w:cs="Times New Roman"/>
          <w:sz w:val="28"/>
          <w:szCs w:val="28"/>
          <w:lang w:val="en-US"/>
        </w:rPr>
        <w:t>DFBETA</w:t>
      </w:r>
      <w:r w:rsidR="00251C86" w:rsidRPr="00251C86">
        <w:rPr>
          <w:rFonts w:ascii="Times New Roman" w:hAnsi="Times New Roman" w:cs="Times New Roman"/>
          <w:sz w:val="28"/>
          <w:szCs w:val="28"/>
        </w:rPr>
        <w:t xml:space="preserve"> </w:t>
      </w:r>
      <w:r w:rsidR="00251C86" w:rsidRPr="00610AC0">
        <w:rPr>
          <w:rFonts w:ascii="Times New Roman" w:hAnsi="Times New Roman" w:cs="Times New Roman"/>
          <w:i/>
          <w:iCs/>
          <w:sz w:val="28"/>
          <w:szCs w:val="28"/>
        </w:rPr>
        <w:t xml:space="preserve">(Приложение 9) </w:t>
      </w:r>
      <w:r w:rsidR="00251C86">
        <w:rPr>
          <w:rFonts w:ascii="Times New Roman" w:hAnsi="Times New Roman" w:cs="Times New Roman"/>
          <w:sz w:val="28"/>
          <w:szCs w:val="28"/>
        </w:rPr>
        <w:t>показывает довольно высокое влияние удаления наблюдений на оценки регрессии. Особенно явно это видно на графике, визуализирующем возраст (</w:t>
      </w:r>
      <w:r w:rsidR="00251C86">
        <w:rPr>
          <w:rFonts w:ascii="Times New Roman" w:hAnsi="Times New Roman" w:cs="Times New Roman"/>
          <w:sz w:val="28"/>
          <w:szCs w:val="28"/>
          <w:lang w:val="en-US"/>
        </w:rPr>
        <w:t>agea</w:t>
      </w:r>
      <w:r w:rsidR="00251C86">
        <w:rPr>
          <w:rFonts w:ascii="Times New Roman" w:hAnsi="Times New Roman" w:cs="Times New Roman"/>
          <w:sz w:val="28"/>
          <w:szCs w:val="28"/>
        </w:rPr>
        <w:t>)</w:t>
      </w:r>
      <w:r w:rsidR="00251C86" w:rsidRPr="00251C86">
        <w:rPr>
          <w:rFonts w:ascii="Times New Roman" w:hAnsi="Times New Roman" w:cs="Times New Roman"/>
          <w:sz w:val="28"/>
          <w:szCs w:val="28"/>
        </w:rPr>
        <w:t xml:space="preserve">. </w:t>
      </w:r>
      <w:r w:rsidR="00251C86">
        <w:rPr>
          <w:rFonts w:ascii="Times New Roman" w:hAnsi="Times New Roman" w:cs="Times New Roman"/>
          <w:sz w:val="28"/>
          <w:szCs w:val="28"/>
        </w:rPr>
        <w:t xml:space="preserve">Это не очень хороший знак для качества модели. </w:t>
      </w:r>
      <w:r w:rsidR="0010455C">
        <w:rPr>
          <w:rFonts w:ascii="Times New Roman" w:hAnsi="Times New Roman" w:cs="Times New Roman"/>
          <w:sz w:val="28"/>
          <w:szCs w:val="28"/>
        </w:rPr>
        <w:t xml:space="preserve">Обратим внимание также на отклоняющиеся наблюдения </w:t>
      </w:r>
      <w:r w:rsidR="0010455C" w:rsidRPr="00610AC0">
        <w:rPr>
          <w:rFonts w:ascii="Times New Roman" w:hAnsi="Times New Roman" w:cs="Times New Roman"/>
          <w:i/>
          <w:iCs/>
          <w:sz w:val="28"/>
          <w:szCs w:val="28"/>
        </w:rPr>
        <w:t>(Приложение 10).</w:t>
      </w:r>
      <w:r w:rsidR="0010455C" w:rsidRPr="0010455C">
        <w:rPr>
          <w:rFonts w:ascii="Times New Roman" w:hAnsi="Times New Roman" w:cs="Times New Roman"/>
          <w:sz w:val="28"/>
          <w:szCs w:val="28"/>
        </w:rPr>
        <w:t xml:space="preserve"> </w:t>
      </w:r>
      <w:r w:rsidR="0010455C">
        <w:rPr>
          <w:rFonts w:ascii="Times New Roman" w:hAnsi="Times New Roman" w:cs="Times New Roman"/>
          <w:sz w:val="28"/>
          <w:szCs w:val="28"/>
        </w:rPr>
        <w:t>Как можно увидеть, здесь есть нетипичные наблюдения, которых 10 из сета на 26 стран. Переоценим модель, удалив 3 наиболее выбивающихся страны</w:t>
      </w:r>
      <w:r w:rsidR="00994F30">
        <w:rPr>
          <w:rFonts w:ascii="Times New Roman" w:hAnsi="Times New Roman" w:cs="Times New Roman"/>
          <w:sz w:val="28"/>
          <w:szCs w:val="28"/>
        </w:rPr>
        <w:t xml:space="preserve"> (Ирландию, Болгарию и Литву)</w:t>
      </w:r>
      <w:r w:rsidR="0010455C">
        <w:rPr>
          <w:rFonts w:ascii="Times New Roman" w:hAnsi="Times New Roman" w:cs="Times New Roman"/>
          <w:sz w:val="28"/>
          <w:szCs w:val="28"/>
        </w:rPr>
        <w:t>, по которым происходит наблюдение.</w:t>
      </w:r>
      <w:r w:rsidR="00994F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5F321" w14:textId="20DCD814" w:rsidR="0010455C" w:rsidRPr="00E6581D" w:rsidRDefault="0010455C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610AC0" w:rsidRPr="00E6581D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 xml:space="preserve">. Оценка модели 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</w:t>
      </w:r>
      <w:r w:rsidRPr="00E6581D">
        <w:rPr>
          <w:rFonts w:ascii="Times New Roman" w:hAnsi="Times New Roman" w:cs="Times New Roman"/>
          <w:i/>
          <w:iCs/>
          <w:sz w:val="24"/>
          <w:szCs w:val="24"/>
        </w:rPr>
        <w:t>_3</w:t>
      </w:r>
      <w:r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994F30" w:rsidRPr="00E6581D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</w:p>
    <w:p w14:paraId="5A84397F" w14:textId="068754F6" w:rsidR="0010455C" w:rsidRPr="0010455C" w:rsidRDefault="00994F30" w:rsidP="003322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33E28" wp14:editId="6782230B">
            <wp:extent cx="5940425" cy="4819015"/>
            <wp:effectExtent l="0" t="0" r="317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4B8" w14:textId="2915D101" w:rsidR="00690B8D" w:rsidRDefault="00690B8D" w:rsidP="00104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переоценки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90B8D">
        <w:rPr>
          <w:rFonts w:ascii="Times New Roman" w:hAnsi="Times New Roman" w:cs="Times New Roman"/>
          <w:sz w:val="28"/>
          <w:szCs w:val="28"/>
        </w:rPr>
        <w:t>_3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4F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1BF">
        <w:rPr>
          <w:rFonts w:ascii="Times New Roman" w:hAnsi="Times New Roman" w:cs="Times New Roman"/>
          <w:sz w:val="28"/>
          <w:szCs w:val="28"/>
        </w:rPr>
        <w:t xml:space="preserve"> </w:t>
      </w:r>
      <w:r w:rsidR="009621BF">
        <w:rPr>
          <w:rFonts w:ascii="Times New Roman" w:hAnsi="Times New Roman" w:cs="Times New Roman"/>
          <w:sz w:val="28"/>
          <w:szCs w:val="28"/>
        </w:rPr>
        <w:t xml:space="preserve">показала </w:t>
      </w:r>
      <w:r w:rsidR="00994F30">
        <w:rPr>
          <w:rFonts w:ascii="Times New Roman" w:hAnsi="Times New Roman" w:cs="Times New Roman"/>
          <w:sz w:val="28"/>
          <w:szCs w:val="28"/>
        </w:rPr>
        <w:t xml:space="preserve">сохраняющийся результат. Значимость при ключевом предикторе </w:t>
      </w:r>
      <w:r w:rsidR="00994F30">
        <w:rPr>
          <w:rFonts w:ascii="Times New Roman" w:hAnsi="Times New Roman" w:cs="Times New Roman"/>
          <w:sz w:val="28"/>
          <w:szCs w:val="28"/>
          <w:lang w:val="en-US"/>
        </w:rPr>
        <w:t>wkhct</w:t>
      </w:r>
      <w:r w:rsidR="00994F30">
        <w:rPr>
          <w:rFonts w:ascii="Times New Roman" w:hAnsi="Times New Roman" w:cs="Times New Roman"/>
          <w:sz w:val="28"/>
          <w:szCs w:val="28"/>
        </w:rPr>
        <w:t xml:space="preserve"> сохранилась, а при </w:t>
      </w:r>
      <w:r w:rsidR="00994F30">
        <w:rPr>
          <w:rFonts w:ascii="Times New Roman" w:hAnsi="Times New Roman" w:cs="Times New Roman"/>
          <w:sz w:val="28"/>
          <w:szCs w:val="28"/>
        </w:rPr>
        <w:lastRenderedPageBreak/>
        <w:t xml:space="preserve">предикторе </w:t>
      </w:r>
      <w:r w:rsidR="00994F30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="00994F30">
        <w:rPr>
          <w:rFonts w:ascii="Times New Roman" w:hAnsi="Times New Roman" w:cs="Times New Roman"/>
          <w:sz w:val="28"/>
          <w:szCs w:val="28"/>
        </w:rPr>
        <w:t xml:space="preserve"> даже выросла. Направление связи сохранилось всех предикторов сохранилось. </w:t>
      </w:r>
    </w:p>
    <w:p w14:paraId="44FFD66D" w14:textId="77777777" w:rsidR="00E6581D" w:rsidRPr="00994F30" w:rsidRDefault="00E6581D" w:rsidP="00104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7D269" w14:textId="6145904A" w:rsidR="00A53925" w:rsidRPr="00E6581D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t>Обсуждение</w:t>
      </w:r>
    </w:p>
    <w:p w14:paraId="21BCDDFC" w14:textId="2D0DDFA6" w:rsidR="004D3DF0" w:rsidRDefault="004D3DF0" w:rsidP="0052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мы смогли выявить положительную связь рабочего участия и удовлетворённостью жизни в целом. Из обозначенных в начале работы гипотез были подтверждены две. Действительно, мы нашли подтверждения в пользу того, что количество рабочих часов положительно связано с удовлетворённостью жизнью, но</w:t>
      </w:r>
      <w:r w:rsidR="00D42809">
        <w:rPr>
          <w:rFonts w:ascii="Times New Roman" w:hAnsi="Times New Roman" w:cs="Times New Roman"/>
          <w:sz w:val="28"/>
          <w:szCs w:val="28"/>
        </w:rPr>
        <w:t xml:space="preserve"> не смогли найти положительную взаимосвязь между количеством рабочих часов и удовлетворённостью жизнью в целом при увеличении юнионизации.</w:t>
      </w:r>
      <w:r w:rsidR="00326DC9">
        <w:rPr>
          <w:rFonts w:ascii="Times New Roman" w:hAnsi="Times New Roman" w:cs="Times New Roman"/>
          <w:sz w:val="28"/>
          <w:szCs w:val="28"/>
        </w:rPr>
        <w:t xml:space="preserve"> Возможно, это как-то связано с механизмами организации, конвертации участия в них в представление о мире - одна из наиболее полемичных частей литературы. </w:t>
      </w:r>
    </w:p>
    <w:p w14:paraId="5D6B67B6" w14:textId="70C0E10F" w:rsidR="004D3DF0" w:rsidRDefault="004D3DF0" w:rsidP="0052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Содержательно в работе пытались посмотреть на более объективные маркеры удовлетворённости от труда на удовлетворённость жизнью. Имеет значение теоретическая работа над полученными предварительными результатами. </w:t>
      </w:r>
      <w:r w:rsidR="00EB2FB5">
        <w:rPr>
          <w:rFonts w:ascii="Times New Roman" w:hAnsi="Times New Roman" w:cs="Times New Roman"/>
          <w:sz w:val="28"/>
          <w:szCs w:val="28"/>
        </w:rPr>
        <w:t>Интересным остаётся феномен труда, который</w:t>
      </w:r>
      <w:r w:rsidR="00306CAF">
        <w:rPr>
          <w:rFonts w:ascii="Times New Roman" w:hAnsi="Times New Roman" w:cs="Times New Roman"/>
          <w:sz w:val="28"/>
          <w:szCs w:val="28"/>
        </w:rPr>
        <w:t xml:space="preserve">, исходя из результатов работы, всё же обладает </w:t>
      </w:r>
      <w:r w:rsidR="000B3A85">
        <w:rPr>
          <w:rFonts w:ascii="Times New Roman" w:hAnsi="Times New Roman" w:cs="Times New Roman"/>
          <w:sz w:val="28"/>
          <w:szCs w:val="28"/>
        </w:rPr>
        <w:t>социализирующим потенциалом, нежели имеет характер стрессовой нагрузки</w:t>
      </w:r>
      <w:r w:rsidR="00EB2FB5">
        <w:rPr>
          <w:rFonts w:ascii="Times New Roman" w:hAnsi="Times New Roman" w:cs="Times New Roman"/>
          <w:sz w:val="28"/>
          <w:szCs w:val="28"/>
        </w:rPr>
        <w:t>.</w:t>
      </w:r>
      <w:r w:rsidR="000B3A85">
        <w:rPr>
          <w:rFonts w:ascii="Times New Roman" w:hAnsi="Times New Roman" w:cs="Times New Roman"/>
          <w:sz w:val="28"/>
          <w:szCs w:val="28"/>
        </w:rPr>
        <w:t xml:space="preserve"> Возможно с</w:t>
      </w:r>
      <w:r w:rsidR="00EB2FB5">
        <w:rPr>
          <w:rFonts w:ascii="Times New Roman" w:hAnsi="Times New Roman" w:cs="Times New Roman"/>
          <w:sz w:val="28"/>
          <w:szCs w:val="28"/>
        </w:rPr>
        <w:t xml:space="preserve"> более продвинутыми  методами и лучшими данными</w:t>
      </w:r>
      <w:r w:rsidR="000B3A85">
        <w:rPr>
          <w:rFonts w:ascii="Times New Roman" w:hAnsi="Times New Roman" w:cs="Times New Roman"/>
          <w:sz w:val="28"/>
          <w:szCs w:val="28"/>
        </w:rPr>
        <w:t xml:space="preserve"> (как качество сбора, так и качество переменных)</w:t>
      </w:r>
      <w:r w:rsidR="00EB2FB5">
        <w:rPr>
          <w:rFonts w:ascii="Times New Roman" w:hAnsi="Times New Roman" w:cs="Times New Roman"/>
          <w:sz w:val="28"/>
          <w:szCs w:val="28"/>
        </w:rPr>
        <w:t xml:space="preserve"> можно было бы предположить более сложную, чем линейн</w:t>
      </w:r>
      <w:r w:rsidR="00F55920">
        <w:rPr>
          <w:rFonts w:ascii="Times New Roman" w:hAnsi="Times New Roman" w:cs="Times New Roman"/>
          <w:sz w:val="28"/>
          <w:szCs w:val="28"/>
        </w:rPr>
        <w:t>ую</w:t>
      </w:r>
      <w:r w:rsidR="00EB2FB5">
        <w:rPr>
          <w:rFonts w:ascii="Times New Roman" w:hAnsi="Times New Roman" w:cs="Times New Roman"/>
          <w:sz w:val="28"/>
          <w:szCs w:val="28"/>
        </w:rPr>
        <w:t xml:space="preserve"> или квадратичн</w:t>
      </w:r>
      <w:r w:rsidR="00F55920">
        <w:rPr>
          <w:rFonts w:ascii="Times New Roman" w:hAnsi="Times New Roman" w:cs="Times New Roman"/>
          <w:sz w:val="28"/>
          <w:szCs w:val="28"/>
        </w:rPr>
        <w:t>ую</w:t>
      </w:r>
      <w:r w:rsidR="00EB2FB5">
        <w:rPr>
          <w:rFonts w:ascii="Times New Roman" w:hAnsi="Times New Roman" w:cs="Times New Roman"/>
          <w:sz w:val="28"/>
          <w:szCs w:val="28"/>
        </w:rPr>
        <w:t xml:space="preserve"> взаимосвязь зависимой и независимой переменных.</w:t>
      </w:r>
      <w:r w:rsidR="00EB2FB5">
        <w:rPr>
          <w:rFonts w:ascii="Times New Roman" w:hAnsi="Times New Roman" w:cs="Times New Roman"/>
          <w:sz w:val="28"/>
          <w:szCs w:val="28"/>
        </w:rPr>
        <w:t xml:space="preserve"> </w:t>
      </w:r>
      <w:r w:rsidR="00EB2FB5">
        <w:rPr>
          <w:rFonts w:ascii="Times New Roman" w:hAnsi="Times New Roman" w:cs="Times New Roman"/>
          <w:sz w:val="28"/>
          <w:szCs w:val="28"/>
        </w:rPr>
        <w:t>Также</w:t>
      </w:r>
      <w:r w:rsidR="000B3A85">
        <w:rPr>
          <w:rFonts w:ascii="Times New Roman" w:hAnsi="Times New Roman" w:cs="Times New Roman"/>
          <w:sz w:val="28"/>
          <w:szCs w:val="28"/>
        </w:rPr>
        <w:t xml:space="preserve"> </w:t>
      </w:r>
      <w:r w:rsidR="00EB2FB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далось </w:t>
      </w:r>
      <w:r w:rsidR="000B3A85">
        <w:rPr>
          <w:rFonts w:ascii="Times New Roman" w:hAnsi="Times New Roman" w:cs="Times New Roman"/>
          <w:sz w:val="28"/>
          <w:szCs w:val="28"/>
        </w:rPr>
        <w:t>найти 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0B3A8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вовлечённости </w:t>
      </w:r>
      <w:r w:rsidR="000B3A8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профсоюз</w:t>
      </w:r>
      <w:r w:rsidR="000B3A85">
        <w:rPr>
          <w:rFonts w:ascii="Times New Roman" w:hAnsi="Times New Roman" w:cs="Times New Roman"/>
          <w:sz w:val="28"/>
          <w:szCs w:val="28"/>
        </w:rPr>
        <w:t>ы на удовлетворённость жизнью.</w:t>
      </w:r>
      <w:r w:rsidR="00326DC9">
        <w:rPr>
          <w:rFonts w:ascii="Times New Roman" w:hAnsi="Times New Roman" w:cs="Times New Roman"/>
          <w:sz w:val="28"/>
          <w:szCs w:val="28"/>
        </w:rPr>
        <w:t xml:space="preserve"> </w:t>
      </w:r>
      <w:r w:rsidR="000B3A85">
        <w:rPr>
          <w:rFonts w:ascii="Times New Roman" w:hAnsi="Times New Roman" w:cs="Times New Roman"/>
          <w:sz w:val="28"/>
          <w:szCs w:val="28"/>
        </w:rPr>
        <w:t>Однако</w:t>
      </w:r>
      <w:r w:rsidR="00326DC9">
        <w:rPr>
          <w:rFonts w:ascii="Times New Roman" w:hAnsi="Times New Roman" w:cs="Times New Roman"/>
          <w:sz w:val="28"/>
          <w:szCs w:val="28"/>
        </w:rPr>
        <w:t xml:space="preserve"> это наиболее</w:t>
      </w:r>
      <w:r w:rsidR="000B3A85">
        <w:rPr>
          <w:rFonts w:ascii="Times New Roman" w:hAnsi="Times New Roman" w:cs="Times New Roman"/>
          <w:sz w:val="28"/>
          <w:szCs w:val="28"/>
        </w:rPr>
        <w:t xml:space="preserve"> содержательно</w:t>
      </w:r>
      <w:r w:rsidR="00326DC9">
        <w:rPr>
          <w:rFonts w:ascii="Times New Roman" w:hAnsi="Times New Roman" w:cs="Times New Roman"/>
          <w:sz w:val="28"/>
          <w:szCs w:val="28"/>
        </w:rPr>
        <w:t xml:space="preserve"> непокрытая тема, которая требует</w:t>
      </w:r>
      <w:r w:rsidR="00B91FF2">
        <w:rPr>
          <w:rFonts w:ascii="Times New Roman" w:hAnsi="Times New Roman" w:cs="Times New Roman"/>
          <w:sz w:val="28"/>
          <w:szCs w:val="28"/>
        </w:rPr>
        <w:t xml:space="preserve"> актуальн</w:t>
      </w:r>
      <w:r w:rsidR="000B3A85">
        <w:rPr>
          <w:rFonts w:ascii="Times New Roman" w:hAnsi="Times New Roman" w:cs="Times New Roman"/>
          <w:sz w:val="28"/>
          <w:szCs w:val="28"/>
        </w:rPr>
        <w:t>ой</w:t>
      </w:r>
      <w:r w:rsidR="00B91FF2">
        <w:rPr>
          <w:rFonts w:ascii="Times New Roman" w:hAnsi="Times New Roman" w:cs="Times New Roman"/>
          <w:sz w:val="28"/>
          <w:szCs w:val="28"/>
        </w:rPr>
        <w:t xml:space="preserve"> эмпири</w:t>
      </w:r>
      <w:r w:rsidR="000B3A85">
        <w:rPr>
          <w:rFonts w:ascii="Times New Roman" w:hAnsi="Times New Roman" w:cs="Times New Roman"/>
          <w:sz w:val="28"/>
          <w:szCs w:val="28"/>
        </w:rPr>
        <w:t>ческой информации</w:t>
      </w:r>
      <w:r w:rsidR="00B91FF2">
        <w:rPr>
          <w:rFonts w:ascii="Times New Roman" w:hAnsi="Times New Roman" w:cs="Times New Roman"/>
          <w:sz w:val="28"/>
          <w:szCs w:val="28"/>
        </w:rPr>
        <w:t xml:space="preserve"> и междисциплинарно</w:t>
      </w:r>
      <w:r w:rsidR="000B3A85">
        <w:rPr>
          <w:rFonts w:ascii="Times New Roman" w:hAnsi="Times New Roman" w:cs="Times New Roman"/>
          <w:sz w:val="28"/>
          <w:szCs w:val="28"/>
        </w:rPr>
        <w:t>й разработки социологии профсоюзной деятельности</w:t>
      </w:r>
      <w:r w:rsidR="00B91FF2">
        <w:rPr>
          <w:rFonts w:ascii="Times New Roman" w:hAnsi="Times New Roman" w:cs="Times New Roman"/>
          <w:sz w:val="28"/>
          <w:szCs w:val="28"/>
        </w:rPr>
        <w:t>.</w:t>
      </w:r>
      <w:r w:rsidR="00EB2FB5">
        <w:rPr>
          <w:rFonts w:ascii="Times New Roman" w:hAnsi="Times New Roman" w:cs="Times New Roman"/>
          <w:sz w:val="28"/>
          <w:szCs w:val="28"/>
        </w:rPr>
        <w:t xml:space="preserve"> </w:t>
      </w:r>
      <w:r w:rsidR="00F55920">
        <w:rPr>
          <w:rFonts w:ascii="Times New Roman" w:hAnsi="Times New Roman" w:cs="Times New Roman"/>
          <w:sz w:val="28"/>
          <w:szCs w:val="28"/>
        </w:rPr>
        <w:t xml:space="preserve">Нам не удалось выявить </w:t>
      </w:r>
      <w:r w:rsidR="00C06268">
        <w:rPr>
          <w:rFonts w:ascii="Times New Roman" w:hAnsi="Times New Roman" w:cs="Times New Roman"/>
          <w:sz w:val="28"/>
          <w:szCs w:val="28"/>
        </w:rPr>
        <w:t xml:space="preserve">взаимосвязь труда и удовлетворённости жизнью при увеличении юнионизации, хотя ряд литературы </w:t>
      </w:r>
      <w:r w:rsidR="000B3A85">
        <w:rPr>
          <w:rFonts w:ascii="Times New Roman" w:hAnsi="Times New Roman" w:cs="Times New Roman"/>
          <w:sz w:val="28"/>
          <w:szCs w:val="28"/>
        </w:rPr>
        <w:t>представлял</w:t>
      </w:r>
      <w:r w:rsidR="00C06268">
        <w:rPr>
          <w:rFonts w:ascii="Times New Roman" w:hAnsi="Times New Roman" w:cs="Times New Roman"/>
          <w:sz w:val="28"/>
          <w:szCs w:val="28"/>
        </w:rPr>
        <w:t xml:space="preserve"> косвенные свидетельства в пользу этой связи. </w:t>
      </w:r>
    </w:p>
    <w:p w14:paraId="64B49784" w14:textId="710808BF" w:rsidR="00521B4A" w:rsidRDefault="00521B4A" w:rsidP="0052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Наиболее серьёзной проблемой данной работы является ограниченность данных. При исключении пропущенных переменных</w:t>
      </w:r>
      <w:r w:rsidR="00727F0E">
        <w:rPr>
          <w:rFonts w:ascii="Times New Roman" w:hAnsi="Times New Roman" w:cs="Times New Roman"/>
          <w:sz w:val="28"/>
          <w:szCs w:val="28"/>
        </w:rPr>
        <w:t xml:space="preserve"> мы теряем четверть от всех данных опроса</w:t>
      </w:r>
      <w:r w:rsidR="00317994">
        <w:rPr>
          <w:rFonts w:ascii="Times New Roman" w:hAnsi="Times New Roman" w:cs="Times New Roman"/>
          <w:sz w:val="28"/>
          <w:szCs w:val="28"/>
        </w:rPr>
        <w:t>, а при исключении</w:t>
      </w:r>
      <w:r w:rsidR="000B3A85">
        <w:rPr>
          <w:rFonts w:ascii="Times New Roman" w:hAnsi="Times New Roman" w:cs="Times New Roman"/>
          <w:sz w:val="28"/>
          <w:szCs w:val="28"/>
        </w:rPr>
        <w:t xml:space="preserve"> ещё «аномальных» значений с огромным числом часов работы теряем ещё порядка 900 наблюдений</w:t>
      </w:r>
      <w:r w:rsidR="00727F0E">
        <w:rPr>
          <w:rFonts w:ascii="Times New Roman" w:hAnsi="Times New Roman" w:cs="Times New Roman"/>
          <w:sz w:val="28"/>
          <w:szCs w:val="28"/>
        </w:rPr>
        <w:t xml:space="preserve">. </w:t>
      </w:r>
      <w:r w:rsidR="000B3A85">
        <w:rPr>
          <w:rFonts w:ascii="Times New Roman" w:hAnsi="Times New Roman" w:cs="Times New Roman"/>
          <w:sz w:val="28"/>
          <w:szCs w:val="28"/>
        </w:rPr>
        <w:t xml:space="preserve">Четверть датасета респондентов, которые отказались отвечать на вопросы, связанные с трудом, могут иметь за собой какие-то причины, которые могут повлиять на наши оценки модели. </w:t>
      </w:r>
    </w:p>
    <w:p w14:paraId="26768A1A" w14:textId="5638D142" w:rsidR="001B5727" w:rsidRDefault="001B5727" w:rsidP="0052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0B3A85"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>данные о количестве рабочих часов, мне представляются,</w:t>
      </w:r>
      <w:r w:rsidR="000B3A85">
        <w:rPr>
          <w:rFonts w:ascii="Times New Roman" w:hAnsi="Times New Roman" w:cs="Times New Roman"/>
          <w:sz w:val="28"/>
          <w:szCs w:val="28"/>
        </w:rPr>
        <w:t xml:space="preserve"> несколько неадекватными. </w:t>
      </w:r>
      <w:r>
        <w:rPr>
          <w:rFonts w:ascii="Times New Roman" w:hAnsi="Times New Roman" w:cs="Times New Roman"/>
          <w:sz w:val="28"/>
          <w:szCs w:val="28"/>
        </w:rPr>
        <w:t>Не серьёзная, но, возможно, влияющая на оценки доля выборки показывает огромное количество часов, которые могут быть результатом неверного сбора информации (респондентам не уточняется, как</w:t>
      </w:r>
      <w:r w:rsidR="00877DBD">
        <w:rPr>
          <w:rFonts w:ascii="Times New Roman" w:hAnsi="Times New Roman" w:cs="Times New Roman"/>
          <w:sz w:val="28"/>
          <w:szCs w:val="28"/>
        </w:rPr>
        <w:t xml:space="preserve">ие </w:t>
      </w:r>
      <w:r>
        <w:rPr>
          <w:rFonts w:ascii="Times New Roman" w:hAnsi="Times New Roman" w:cs="Times New Roman"/>
          <w:sz w:val="28"/>
          <w:szCs w:val="28"/>
        </w:rPr>
        <w:t xml:space="preserve">данные респондентов, дающие количество часов больше 10 в сутки не корректировались никаким образом) </w:t>
      </w:r>
      <w:r w:rsidR="000B3A85">
        <w:rPr>
          <w:rFonts w:ascii="Times New Roman" w:hAnsi="Times New Roman" w:cs="Times New Roman"/>
          <w:sz w:val="28"/>
          <w:szCs w:val="28"/>
        </w:rPr>
        <w:t>или не подразумеваемого вопросом реального числа рабочих часов - респондент может безосновательно отвечать, что работает «круглые сутки», «всю неделю», «24</w:t>
      </w:r>
      <w:r w:rsidR="000B3A85" w:rsidRPr="000B3A85">
        <w:rPr>
          <w:rFonts w:ascii="Times New Roman" w:hAnsi="Times New Roman" w:cs="Times New Roman"/>
          <w:sz w:val="28"/>
          <w:szCs w:val="28"/>
        </w:rPr>
        <w:t>/7</w:t>
      </w:r>
      <w:r w:rsidR="000B3A85">
        <w:rPr>
          <w:rFonts w:ascii="Times New Roman" w:hAnsi="Times New Roman" w:cs="Times New Roman"/>
          <w:sz w:val="28"/>
          <w:szCs w:val="28"/>
        </w:rPr>
        <w:t xml:space="preserve">», но в датасет эти ответы вбираются наравне с ответами, которые </w:t>
      </w:r>
      <w:r w:rsidR="0069372B">
        <w:rPr>
          <w:rFonts w:ascii="Times New Roman" w:hAnsi="Times New Roman" w:cs="Times New Roman"/>
          <w:sz w:val="28"/>
          <w:szCs w:val="28"/>
        </w:rPr>
        <w:t>приближены к реальности. Характер опроса, а не сбора официальной статистики и оценок, может влиять на оценки.</w:t>
      </w:r>
    </w:p>
    <w:p w14:paraId="07C8869E" w14:textId="66F07138" w:rsidR="00994F30" w:rsidRDefault="00994F30" w:rsidP="0052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Вызывают сомнения результаты проверок на устойчивость. Само по себе малое количество групп на втором уровне и сокращение их на 3 </w:t>
      </w:r>
      <w:r w:rsidR="00504774">
        <w:rPr>
          <w:rFonts w:ascii="Times New Roman" w:hAnsi="Times New Roman" w:cs="Times New Roman"/>
          <w:sz w:val="28"/>
          <w:szCs w:val="28"/>
        </w:rPr>
        <w:t xml:space="preserve">для переоценки </w:t>
      </w:r>
      <w:r>
        <w:rPr>
          <w:rFonts w:ascii="Times New Roman" w:hAnsi="Times New Roman" w:cs="Times New Roman"/>
          <w:sz w:val="28"/>
          <w:szCs w:val="28"/>
        </w:rPr>
        <w:t xml:space="preserve">требует более серьёзного основания для </w:t>
      </w:r>
      <w:r w:rsidR="00EB2FB5">
        <w:rPr>
          <w:rFonts w:ascii="Times New Roman" w:hAnsi="Times New Roman" w:cs="Times New Roman"/>
          <w:sz w:val="28"/>
          <w:szCs w:val="28"/>
        </w:rPr>
        <w:t xml:space="preserve">удаления.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FB5">
        <w:rPr>
          <w:rFonts w:ascii="Times New Roman" w:hAnsi="Times New Roman" w:cs="Times New Roman"/>
          <w:sz w:val="28"/>
          <w:szCs w:val="28"/>
        </w:rPr>
        <w:t xml:space="preserve">Помимо этого диагностика </w:t>
      </w:r>
      <w:r w:rsidR="00EB2FB5">
        <w:rPr>
          <w:rFonts w:ascii="Times New Roman" w:hAnsi="Times New Roman" w:cs="Times New Roman"/>
          <w:sz w:val="28"/>
          <w:szCs w:val="28"/>
          <w:lang w:val="en-US"/>
        </w:rPr>
        <w:t>DFBETA</w:t>
      </w:r>
      <w:r w:rsidR="00EB2FB5" w:rsidRPr="00EB2FB5">
        <w:rPr>
          <w:rFonts w:ascii="Times New Roman" w:hAnsi="Times New Roman" w:cs="Times New Roman"/>
          <w:sz w:val="28"/>
          <w:szCs w:val="28"/>
        </w:rPr>
        <w:t xml:space="preserve"> </w:t>
      </w:r>
      <w:r w:rsidR="00EB2FB5">
        <w:rPr>
          <w:rFonts w:ascii="Times New Roman" w:hAnsi="Times New Roman" w:cs="Times New Roman"/>
          <w:sz w:val="28"/>
          <w:szCs w:val="28"/>
        </w:rPr>
        <w:t xml:space="preserve">показала высокое влияние удаления наблюдения на оценки коэффициентов регрессии при контрольных переменных </w:t>
      </w:r>
      <w:r w:rsidR="00EB2FB5">
        <w:rPr>
          <w:rFonts w:ascii="Times New Roman" w:hAnsi="Times New Roman" w:cs="Times New Roman"/>
          <w:sz w:val="28"/>
          <w:szCs w:val="28"/>
          <w:lang w:val="en-US"/>
        </w:rPr>
        <w:t>agea</w:t>
      </w:r>
      <w:r w:rsidR="00EB2FB5" w:rsidRPr="00EB2FB5">
        <w:rPr>
          <w:rFonts w:ascii="Times New Roman" w:hAnsi="Times New Roman" w:cs="Times New Roman"/>
          <w:sz w:val="28"/>
          <w:szCs w:val="28"/>
        </w:rPr>
        <w:t xml:space="preserve"> </w:t>
      </w:r>
      <w:r w:rsidR="00EB2FB5">
        <w:rPr>
          <w:rFonts w:ascii="Times New Roman" w:hAnsi="Times New Roman" w:cs="Times New Roman"/>
          <w:sz w:val="28"/>
          <w:szCs w:val="28"/>
        </w:rPr>
        <w:t xml:space="preserve">и </w:t>
      </w:r>
      <w:r w:rsidR="00EB2FB5">
        <w:rPr>
          <w:rFonts w:ascii="Times New Roman" w:hAnsi="Times New Roman" w:cs="Times New Roman"/>
          <w:sz w:val="28"/>
          <w:szCs w:val="28"/>
          <w:lang w:val="en-US"/>
        </w:rPr>
        <w:t>ctzcntr</w:t>
      </w:r>
      <w:r w:rsidR="00EB2FB5" w:rsidRPr="00EB2FB5">
        <w:rPr>
          <w:rFonts w:ascii="Times New Roman" w:hAnsi="Times New Roman" w:cs="Times New Roman"/>
          <w:sz w:val="28"/>
          <w:szCs w:val="28"/>
        </w:rPr>
        <w:t xml:space="preserve">. </w:t>
      </w:r>
      <w:r w:rsidR="00EB2FB5">
        <w:rPr>
          <w:rFonts w:ascii="Times New Roman" w:hAnsi="Times New Roman" w:cs="Times New Roman"/>
          <w:sz w:val="28"/>
          <w:szCs w:val="28"/>
        </w:rPr>
        <w:t xml:space="preserve">Скорее всего, эти </w:t>
      </w:r>
      <w:r w:rsidR="00504774">
        <w:rPr>
          <w:rFonts w:ascii="Times New Roman" w:hAnsi="Times New Roman" w:cs="Times New Roman"/>
          <w:sz w:val="28"/>
          <w:szCs w:val="28"/>
        </w:rPr>
        <w:t>переменные имеют скошенное по странам распределение.</w:t>
      </w:r>
    </w:p>
    <w:p w14:paraId="31346CE7" w14:textId="25D1DCE1" w:rsidR="00504774" w:rsidRDefault="00504774" w:rsidP="0052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менее, </w:t>
      </w:r>
      <w:r w:rsidR="00921BF0">
        <w:rPr>
          <w:rFonts w:ascii="Times New Roman" w:hAnsi="Times New Roman" w:cs="Times New Roman"/>
          <w:sz w:val="28"/>
          <w:szCs w:val="28"/>
        </w:rPr>
        <w:t xml:space="preserve">изучение отношений труда и качества жизни должны иметь дальнейшую разработку в области социальных исследований, учитывая постоянно и быстро меняющийся характер труда (прыжок в гиг экономику) и совершенствование методов, которыми можно фиксировать эти изменения. </w:t>
      </w:r>
    </w:p>
    <w:p w14:paraId="7F136FF0" w14:textId="77777777" w:rsidR="00E6581D" w:rsidRPr="00EB2FB5" w:rsidRDefault="00E6581D" w:rsidP="0052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7A5B4" w14:textId="28056919" w:rsidR="00A53925" w:rsidRPr="006D2784" w:rsidRDefault="00A53925" w:rsidP="00A5392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7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D03F894" w14:textId="43EEC62C" w:rsidR="00C62FBB" w:rsidRPr="00782B46" w:rsidRDefault="00C62FBB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Ampofo, E. T. (2020). Do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ob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atisfaction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ork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ngagement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ediate the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ffects of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sychological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ontract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reach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busive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upervision on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otel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mployees’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ife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tisfaction?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Journal of Hospitality Marketing &amp; Management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1-23.</w:t>
      </w:r>
    </w:p>
    <w:p w14:paraId="6A520001" w14:textId="42CF4F7D" w:rsidR="00C62FBB" w:rsidRPr="00782B46" w:rsidRDefault="00C62FBB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Bayram, N., Aytac, S., Aytac, M., Sam, N., &amp; Bilgel, N. (2012). Poverty,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ocial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clusion,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ife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atisfaction: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tudy from Turkey.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Journal of Poverty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16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(4), 375-391.</w:t>
      </w:r>
    </w:p>
    <w:p w14:paraId="10428FFB" w14:textId="08C8C96E" w:rsidR="00C62FBB" w:rsidRPr="00782B46" w:rsidRDefault="00C62FBB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Berenbaum, H., Chow, P. I., Schoenleber, M., &amp; Flores Jr, L. E. (2013). Pleasurable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motions,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ge,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ife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atisfaction.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The Journal of Positive Psychology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8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(2), 140-143.</w:t>
      </w:r>
    </w:p>
    <w:p w14:paraId="356E745F" w14:textId="182F5799" w:rsidR="006C32A5" w:rsidRPr="00782B46" w:rsidRDefault="006C32A5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Borjas, G. J. (1979). Job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atisfaction,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ages,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nions.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Journal of Human Resources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21-40.</w:t>
      </w:r>
    </w:p>
    <w:p w14:paraId="278F448F" w14:textId="6B432028" w:rsidR="00C62FBB" w:rsidRPr="00444DF1" w:rsidRDefault="00C62FBB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Boyraz, G., &amp; Sayger, T. V. (2009). An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xploratory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ath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nalysis of the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actors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ontributing to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ife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atisfaction in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athers.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The Journal of Positive Psychology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4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(2), 145-154.</w:t>
      </w:r>
    </w:p>
    <w:p w14:paraId="0935936C" w14:textId="1B2CE6A8" w:rsidR="00444DF1" w:rsidRPr="00782B46" w:rsidRDefault="00444DF1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DF1">
        <w:rPr>
          <w:rFonts w:ascii="Times New Roman" w:hAnsi="Times New Roman" w:cs="Times New Roman"/>
          <w:sz w:val="28"/>
          <w:szCs w:val="28"/>
          <w:lang w:val="en-US"/>
        </w:rPr>
        <w:t xml:space="preserve">Brown, D., &amp; McIntosh, S. (2003). Job satisfaction in the low wage service sector. </w:t>
      </w:r>
      <w:r w:rsidRPr="00444DF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Applied Economics, 35</w:t>
      </w:r>
      <w:r w:rsidRPr="00444DF1">
        <w:rPr>
          <w:rFonts w:ascii="Times New Roman" w:hAnsi="Times New Roman" w:cs="Times New Roman"/>
          <w:sz w:val="28"/>
          <w:szCs w:val="28"/>
          <w:lang w:val="en-US"/>
        </w:rPr>
        <w:t>(10), 1241-1254.</w:t>
      </w:r>
    </w:p>
    <w:p w14:paraId="3F50C301" w14:textId="13D622AE" w:rsidR="00F26B65" w:rsidRPr="00782B46" w:rsidRDefault="00F26B65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Case, A., &amp; Deaton, A. (2020).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Deaths of Despair and the Future of Capitalism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Princeton University Press</w:t>
      </w:r>
      <w:r w:rsidR="006D2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14:paraId="17A69E31" w14:textId="2830AF8A" w:rsidR="006C32A5" w:rsidRPr="00782B46" w:rsidRDefault="006C32A5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Charman, C., &amp; Owen, A. L. (2014). Collective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appiness: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abour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nion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embership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ife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atisfaction.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Applied Economics Letters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21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(13), 924-927.</w:t>
      </w:r>
    </w:p>
    <w:p w14:paraId="30AE9C13" w14:textId="3E2B32DD" w:rsidR="00A7686F" w:rsidRPr="00900AB5" w:rsidRDefault="00A7686F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Donado, A., &amp; Wa¨lde, K. (2012). How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rade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nions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ncrease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elfare.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The Economic Journal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122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(563), 990-1009.</w:t>
      </w:r>
    </w:p>
    <w:p w14:paraId="034D07B5" w14:textId="22CE0FDF" w:rsidR="00900AB5" w:rsidRPr="00782B46" w:rsidRDefault="00900AB5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AB5">
        <w:rPr>
          <w:rFonts w:ascii="Times New Roman" w:hAnsi="Times New Roman" w:cs="Times New Roman"/>
          <w:sz w:val="28"/>
          <w:szCs w:val="28"/>
          <w:lang w:val="en-US"/>
        </w:rPr>
        <w:t xml:space="preserve">Grund, C., &amp; Schmitt, A. (2011). Works councils, </w:t>
      </w:r>
      <w:r w:rsidR="00725D2C" w:rsidRPr="00900AB5">
        <w:rPr>
          <w:rFonts w:ascii="Times New Roman" w:hAnsi="Times New Roman" w:cs="Times New Roman"/>
          <w:sz w:val="28"/>
          <w:szCs w:val="28"/>
          <w:lang w:val="en-US"/>
        </w:rPr>
        <w:t>wages,</w:t>
      </w:r>
      <w:r w:rsidRPr="00900AB5">
        <w:rPr>
          <w:rFonts w:ascii="Times New Roman" w:hAnsi="Times New Roman" w:cs="Times New Roman"/>
          <w:sz w:val="28"/>
          <w:szCs w:val="28"/>
          <w:lang w:val="en-US"/>
        </w:rPr>
        <w:t xml:space="preserve"> and job satisfaction. </w:t>
      </w:r>
      <w:r w:rsidRPr="00900AB5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Applied Economics, 45</w:t>
      </w:r>
      <w:r w:rsidRPr="00900AB5">
        <w:rPr>
          <w:rFonts w:ascii="Times New Roman" w:hAnsi="Times New Roman" w:cs="Times New Roman"/>
          <w:sz w:val="28"/>
          <w:szCs w:val="28"/>
          <w:lang w:val="en-US"/>
        </w:rPr>
        <w:t>(3), 299-310.</w:t>
      </w:r>
    </w:p>
    <w:p w14:paraId="018414BA" w14:textId="20C3C825" w:rsidR="006B6C96" w:rsidRPr="00782B46" w:rsidRDefault="006B6C96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Hammer, T. H., &amp; Avgar, A. (2005). The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mpact of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nions on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ob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atisfaction,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rganizational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ommitment,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urnover.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Journal of Labor Research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26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(2), 241-266.</w:t>
      </w:r>
    </w:p>
    <w:p w14:paraId="798ADEB1" w14:textId="3722E17D" w:rsidR="00C62FBB" w:rsidRPr="006D2784" w:rsidRDefault="00C62FBB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Hevenstone, D. (2011). Flexicurity, Happiness, and Satisfaction.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International </w:t>
      </w:r>
      <w:r w:rsid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ournal of </w:t>
      </w:r>
      <w:r w:rsid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ociology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41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(3), 7-45.</w:t>
      </w:r>
    </w:p>
    <w:p w14:paraId="50315BEA" w14:textId="646433B6" w:rsidR="006D2784" w:rsidRDefault="006D2784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784">
        <w:rPr>
          <w:rFonts w:ascii="Times New Roman" w:hAnsi="Times New Roman" w:cs="Times New Roman"/>
          <w:sz w:val="28"/>
          <w:szCs w:val="28"/>
          <w:lang w:val="en-US"/>
        </w:rPr>
        <w:t>Kantak, D. M., Futrell, C. M., &amp; Sager, J. K. (1992). Job satisfaction and life satisfaction in a sales force. Journal of Personal Selling &amp; Sales Management, 12(1), 1-7.</w:t>
      </w:r>
    </w:p>
    <w:p w14:paraId="7320AFDF" w14:textId="38AB0E63" w:rsidR="00900AB5" w:rsidRPr="00782B46" w:rsidRDefault="00900AB5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AB5">
        <w:rPr>
          <w:rFonts w:ascii="Times New Roman" w:hAnsi="Times New Roman" w:cs="Times New Roman"/>
          <w:sz w:val="28"/>
          <w:szCs w:val="28"/>
          <w:lang w:val="en-US"/>
        </w:rPr>
        <w:t xml:space="preserve">Mysíková, M., &amp; Večerník, J. (2013). Job satisfaction across Europe: differences between and within regions. </w:t>
      </w:r>
      <w:r w:rsidRPr="00900AB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Post-communist economies, 25</w:t>
      </w:r>
      <w:r w:rsidRPr="00900AB5">
        <w:rPr>
          <w:rFonts w:ascii="Times New Roman" w:hAnsi="Times New Roman" w:cs="Times New Roman"/>
          <w:sz w:val="28"/>
          <w:szCs w:val="28"/>
          <w:lang w:val="en-US"/>
        </w:rPr>
        <w:t>(4), 539-556.</w:t>
      </w:r>
    </w:p>
    <w:p w14:paraId="10227E51" w14:textId="7819D2A6" w:rsidR="00C62FBB" w:rsidRPr="006D2784" w:rsidRDefault="00C62FBB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Morris, E. A. (2018). Is a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xer-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pper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ctually a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owner? Homeownership,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ender,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ork on the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ome,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ubjective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ell-being.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Housing Policy Debate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28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(3), 342-367.</w:t>
      </w:r>
    </w:p>
    <w:p w14:paraId="11B31275" w14:textId="02E4E2D6" w:rsidR="006D2784" w:rsidRPr="00782B46" w:rsidRDefault="006D2784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784">
        <w:rPr>
          <w:rFonts w:ascii="Times New Roman" w:hAnsi="Times New Roman" w:cs="Times New Roman"/>
          <w:sz w:val="28"/>
          <w:szCs w:val="28"/>
          <w:lang w:val="en-US"/>
        </w:rPr>
        <w:t xml:space="preserve">Rice, R. W., McFarlin, D. B., Hunt, R. G., &amp; Near, J. P. (1985). Job importance as a moderator of the relationship between job satisfaction and life satisfaction. </w:t>
      </w:r>
      <w:r w:rsidRPr="006D2784">
        <w:rPr>
          <w:rFonts w:ascii="Times New Roman" w:hAnsi="Times New Roman" w:cs="Times New Roman"/>
          <w:i/>
          <w:iCs/>
          <w:sz w:val="28"/>
          <w:szCs w:val="28"/>
          <w:lang w:val="en-US"/>
        </w:rPr>
        <w:t>Basic and Applied Social Psychology, 6</w:t>
      </w:r>
      <w:r w:rsidRPr="006D2784">
        <w:rPr>
          <w:rFonts w:ascii="Times New Roman" w:hAnsi="Times New Roman" w:cs="Times New Roman"/>
          <w:sz w:val="28"/>
          <w:szCs w:val="28"/>
          <w:lang w:val="en-US"/>
        </w:rPr>
        <w:t>(4), 297-316.</w:t>
      </w:r>
    </w:p>
    <w:p w14:paraId="393F82DE" w14:textId="36E17AAC" w:rsidR="000C2975" w:rsidRPr="00782B46" w:rsidRDefault="000C2975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Rice, R. W., Near, J. P., &amp; Hunt, R. G. (1980). The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ob-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atisfaction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/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ife-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atisfaction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elationship: A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eview of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mpirical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esearch.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Basic and </w:t>
      </w:r>
      <w:r w:rsid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pplied </w:t>
      </w:r>
      <w:r w:rsid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 xml:space="preserve">ocial </w:t>
      </w:r>
      <w:r w:rsid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sychology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1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(1), 37-64.</w:t>
      </w:r>
    </w:p>
    <w:p w14:paraId="16EAB9FF" w14:textId="548D2558" w:rsidR="00114FE4" w:rsidRPr="00444DF1" w:rsidRDefault="00114FE4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Russo, G. (2012). Job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ife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atisfaction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mong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art-time and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ull-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ime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orkers: The “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dentity” </w:t>
      </w:r>
      <w:r w:rsid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pproach.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Review of Social Economy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782B46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70</w:t>
      </w:r>
      <w:r w:rsidRPr="00782B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(3), 315-343.</w:t>
      </w:r>
    </w:p>
    <w:p w14:paraId="45DE818D" w14:textId="2C4B91E8" w:rsidR="00444DF1" w:rsidRPr="00782B46" w:rsidRDefault="00444DF1" w:rsidP="00C62FB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DF1">
        <w:rPr>
          <w:rFonts w:ascii="Times New Roman" w:hAnsi="Times New Roman" w:cs="Times New Roman"/>
          <w:sz w:val="28"/>
          <w:szCs w:val="28"/>
          <w:lang w:val="en-US"/>
        </w:rPr>
        <w:t xml:space="preserve">Saridakis, G., Lai, Y., Muñoz Torres, R. I., &amp; Gourlay, S. (2020). Exploring the relationship between job satisfaction and organizational commitment: an instrumental variable approach. </w:t>
      </w:r>
      <w:r w:rsidRPr="00444DF1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International Journal of Human Resource Management, 31</w:t>
      </w:r>
      <w:r w:rsidRPr="00444DF1">
        <w:rPr>
          <w:rFonts w:ascii="Times New Roman" w:hAnsi="Times New Roman" w:cs="Times New Roman"/>
          <w:sz w:val="28"/>
          <w:szCs w:val="28"/>
          <w:lang w:val="en-US"/>
        </w:rPr>
        <w:t>(13), 1739-1769.</w:t>
      </w:r>
    </w:p>
    <w:p w14:paraId="501F3669" w14:textId="425151CD" w:rsidR="00A53925" w:rsidRPr="006D2784" w:rsidRDefault="005E2C10" w:rsidP="006D278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784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44BBF113" w14:textId="21F70277" w:rsidR="005E2C10" w:rsidRPr="005A541D" w:rsidRDefault="005E2C10" w:rsidP="005A54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41D">
        <w:rPr>
          <w:rFonts w:ascii="Times New Roman" w:hAnsi="Times New Roman" w:cs="Times New Roman"/>
          <w:sz w:val="28"/>
          <w:szCs w:val="28"/>
          <w:lang w:val="en-US"/>
        </w:rPr>
        <w:t xml:space="preserve">Organisation for Economic Co-Operation and Development Trade Union Statistics 2018 // OECD URL: </w:t>
      </w:r>
      <w:hyperlink r:id="rId21" w:history="1">
        <w:r w:rsidRPr="005A541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https://stats.oecd.org/Index.aspx?DataSetCode=TUD</w:t>
        </w:r>
      </w:hyperlink>
      <w:r w:rsidRPr="005A54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A541D">
        <w:rPr>
          <w:rFonts w:ascii="Times New Roman" w:hAnsi="Times New Roman" w:cs="Times New Roman"/>
          <w:sz w:val="28"/>
          <w:szCs w:val="28"/>
        </w:rPr>
        <w:t>дата</w:t>
      </w:r>
      <w:r w:rsidRPr="005A5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41D">
        <w:rPr>
          <w:rFonts w:ascii="Times New Roman" w:hAnsi="Times New Roman" w:cs="Times New Roman"/>
          <w:sz w:val="28"/>
          <w:szCs w:val="28"/>
        </w:rPr>
        <w:t>обращения</w:t>
      </w:r>
      <w:r w:rsidRPr="005A541D">
        <w:rPr>
          <w:rFonts w:ascii="Times New Roman" w:hAnsi="Times New Roman" w:cs="Times New Roman"/>
          <w:sz w:val="28"/>
          <w:szCs w:val="28"/>
          <w:lang w:val="en-US"/>
        </w:rPr>
        <w:t>: 10.12.2020).</w:t>
      </w:r>
    </w:p>
    <w:p w14:paraId="256AF38D" w14:textId="2786EE56" w:rsidR="005E2C10" w:rsidRPr="005E2C10" w:rsidRDefault="00F53FD6" w:rsidP="005A54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Dataset: EES9-2018, ed. 3.0 </w:t>
      </w:r>
      <w:r w:rsidR="005E2C10" w:rsidRPr="005E2C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5E2C10">
        <w:rPr>
          <w:rFonts w:ascii="Times New Roman" w:hAnsi="Times New Roman" w:cs="Times New Roman"/>
          <w:sz w:val="28"/>
          <w:szCs w:val="28"/>
          <w:lang w:val="en-US"/>
        </w:rPr>
        <w:t>European</w:t>
      </w:r>
      <w:r w:rsidR="005E2C10" w:rsidRPr="005E2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C10">
        <w:rPr>
          <w:rFonts w:ascii="Times New Roman" w:hAnsi="Times New Roman" w:cs="Times New Roman"/>
          <w:sz w:val="28"/>
          <w:szCs w:val="28"/>
          <w:lang w:val="en-US"/>
        </w:rPr>
        <w:t>Social Survey</w:t>
      </w:r>
      <w:r w:rsidR="005E2C10" w:rsidRPr="005E2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C1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E2C10" w:rsidRPr="005E2C10">
        <w:rPr>
          <w:rFonts w:ascii="Times New Roman" w:hAnsi="Times New Roman" w:cs="Times New Roman"/>
          <w:sz w:val="28"/>
          <w:szCs w:val="28"/>
          <w:lang w:val="en-US"/>
        </w:rPr>
        <w:t>: https://www.europeansocialsurvey.org/download.html?file=ESS9e03&amp;y=2018 (</w:t>
      </w:r>
      <w:r w:rsidR="005E2C10">
        <w:rPr>
          <w:rFonts w:ascii="Times New Roman" w:hAnsi="Times New Roman" w:cs="Times New Roman"/>
          <w:sz w:val="28"/>
          <w:szCs w:val="28"/>
        </w:rPr>
        <w:t>дата</w:t>
      </w:r>
      <w:r w:rsidR="005E2C10" w:rsidRPr="005E2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C10">
        <w:rPr>
          <w:rFonts w:ascii="Times New Roman" w:hAnsi="Times New Roman" w:cs="Times New Roman"/>
          <w:sz w:val="28"/>
          <w:szCs w:val="28"/>
        </w:rPr>
        <w:t>обращения</w:t>
      </w:r>
      <w:r w:rsidR="005E2C10" w:rsidRPr="005E2C10">
        <w:rPr>
          <w:rFonts w:ascii="Times New Roman" w:hAnsi="Times New Roman" w:cs="Times New Roman"/>
          <w:sz w:val="28"/>
          <w:szCs w:val="28"/>
          <w:lang w:val="en-US"/>
        </w:rPr>
        <w:t>: 10.12.2020).</w:t>
      </w:r>
    </w:p>
    <w:p w14:paraId="1CC18E8B" w14:textId="27BA3FFA" w:rsidR="00A53925" w:rsidRDefault="00A53925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3521FA" w14:textId="24654A97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EB435E" w14:textId="4884560C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5EF97" w14:textId="6B25368A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AA3F4D" w14:textId="574B277E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6E14A" w14:textId="496DCFE4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CD28FC" w14:textId="1DAA0625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A6E91" w14:textId="71308232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FFA9FA" w14:textId="2728D8BA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F299D" w14:textId="11BC6845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F8D8B1" w14:textId="7C9DA58F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E5660B" w14:textId="6988A104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5FB4F" w14:textId="49D6CBE8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964B0" w14:textId="107892E0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A7542B" w14:textId="3A54E9B0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95C659" w14:textId="1AE73421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789C4" w14:textId="2BFCEB63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EFDDF" w14:textId="25BE23BD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DC754" w14:textId="3084A7CD" w:rsidR="00E6581D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6257B" w14:textId="77777777" w:rsidR="00E6581D" w:rsidRPr="005E2C10" w:rsidRDefault="00E6581D" w:rsidP="00A539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5D4AA2" w14:textId="077C21D5" w:rsidR="00F22AD5" w:rsidRPr="00E6581D" w:rsidRDefault="00F22AD5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8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402A9FFA" w14:textId="4BD2E4EC" w:rsidR="00F22AD5" w:rsidRPr="00E6581D" w:rsidRDefault="00F22AD5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1.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model_0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model_1.</w:t>
      </w:r>
    </w:p>
    <w:p w14:paraId="74A51CCE" w14:textId="507C0769" w:rsidR="00F22AD5" w:rsidRDefault="00F22AD5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F567B1" wp14:editId="6697D447">
            <wp:extent cx="5390476" cy="1333333"/>
            <wp:effectExtent l="0" t="0" r="127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FBF" w14:textId="77777777" w:rsidR="00E6581D" w:rsidRDefault="00E6581D" w:rsidP="00F22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23461A" w14:textId="30757BBE" w:rsidR="00F22AD5" w:rsidRPr="00E6581D" w:rsidRDefault="00F22AD5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2.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model_1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model_2.</w:t>
      </w:r>
    </w:p>
    <w:p w14:paraId="724680B8" w14:textId="2618FB32" w:rsidR="00C94594" w:rsidRDefault="00C94594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4FDF8D" wp14:editId="013FF407">
            <wp:extent cx="5580952" cy="1180952"/>
            <wp:effectExtent l="0" t="0" r="127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7878" w14:textId="77777777" w:rsidR="00E6581D" w:rsidRPr="00E6581D" w:rsidRDefault="00E6581D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4308F3" w14:textId="587035C0" w:rsidR="00C94594" w:rsidRPr="00E6581D" w:rsidRDefault="00C94594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3.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model_2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model_3.</w:t>
      </w:r>
    </w:p>
    <w:p w14:paraId="63CAE216" w14:textId="143F5C21" w:rsidR="00C94594" w:rsidRDefault="00C94594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856012" wp14:editId="03C375D3">
            <wp:extent cx="5466667" cy="1447619"/>
            <wp:effectExtent l="0" t="0" r="127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ADE" w14:textId="77777777" w:rsidR="00E6581D" w:rsidRDefault="00E6581D" w:rsidP="00F22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E76A98" w14:textId="77777777" w:rsidR="00A418F3" w:rsidRDefault="00A418F3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2859110" w14:textId="77777777" w:rsidR="00A418F3" w:rsidRDefault="00A418F3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682F089" w14:textId="77777777" w:rsidR="00A418F3" w:rsidRDefault="00A418F3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3F06A9" w14:textId="77777777" w:rsidR="00A418F3" w:rsidRDefault="00A418F3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A80B601" w14:textId="77777777" w:rsidR="00A418F3" w:rsidRDefault="00A418F3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238203B" w14:textId="6FEF4D98" w:rsidR="00B02BD2" w:rsidRPr="00E6581D" w:rsidRDefault="00B02BD2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Приложение 4.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model_1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model_4.</w:t>
      </w:r>
    </w:p>
    <w:p w14:paraId="18D0AD7E" w14:textId="46D332E2" w:rsidR="00B02BD2" w:rsidRDefault="00B02BD2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ED5F76" wp14:editId="017429FB">
            <wp:extent cx="5542857" cy="1485714"/>
            <wp:effectExtent l="0" t="0" r="127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DEDF" w14:textId="77777777" w:rsidR="00A418F3" w:rsidRDefault="00A418F3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DF2C2B" w14:textId="41735DD4" w:rsidR="00B02BD2" w:rsidRPr="00E6581D" w:rsidRDefault="00B02BD2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5.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model_3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model_4.</w:t>
      </w:r>
    </w:p>
    <w:p w14:paraId="01E376EB" w14:textId="5EB3DF48" w:rsidR="00B02BD2" w:rsidRDefault="00B02BD2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91E4F5" wp14:editId="49094932">
            <wp:extent cx="5542857" cy="1352381"/>
            <wp:effectExtent l="0" t="0" r="127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7EE" w14:textId="77777777" w:rsidR="00E6581D" w:rsidRDefault="00E6581D" w:rsidP="00F22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E8688E" w14:textId="745C44BB" w:rsidR="006C0BBC" w:rsidRPr="00E6581D" w:rsidRDefault="006C0BBC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6.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model_1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model_5.</w:t>
      </w:r>
    </w:p>
    <w:p w14:paraId="18D623B7" w14:textId="7F61F914" w:rsidR="006C0BBC" w:rsidRDefault="006C0BBC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7987BF" wp14:editId="35597F48">
            <wp:extent cx="5771429" cy="1190476"/>
            <wp:effectExtent l="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6960" w14:textId="77777777" w:rsidR="00E6581D" w:rsidRPr="00E6581D" w:rsidRDefault="00E6581D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7295AF6" w14:textId="652BACB1" w:rsidR="006C0BBC" w:rsidRPr="00E6581D" w:rsidRDefault="006C0BBC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7.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model_3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model_5.</w:t>
      </w:r>
    </w:p>
    <w:p w14:paraId="578CFD55" w14:textId="6DE0847A" w:rsidR="00485D8E" w:rsidRDefault="00485D8E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E99F10" wp14:editId="4987EA99">
            <wp:extent cx="5733333" cy="1333333"/>
            <wp:effectExtent l="0" t="0" r="127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3F38" w14:textId="77777777" w:rsidR="00E6581D" w:rsidRDefault="00E6581D" w:rsidP="00F22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542F5" w14:textId="793AF6C0" w:rsidR="00524F64" w:rsidRPr="00E6581D" w:rsidRDefault="00524F64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Приложение 8.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ANOVA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model_1a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model_3a.</w:t>
      </w:r>
    </w:p>
    <w:p w14:paraId="66191D6E" w14:textId="1D512DC6" w:rsidR="00524F64" w:rsidRDefault="00524F64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7F486E" wp14:editId="3A0AA630">
            <wp:extent cx="5619048" cy="1466667"/>
            <wp:effectExtent l="0" t="0" r="127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405" w14:textId="77777777" w:rsidR="00E6581D" w:rsidRDefault="00E6581D" w:rsidP="00F22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712AD" w14:textId="35C865AB" w:rsidR="00251C86" w:rsidRPr="00E6581D" w:rsidRDefault="00251C86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Приложение 9.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>DFBETA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 xml:space="preserve"> на модели </w:t>
      </w:r>
      <w:r w:rsidR="0010455C"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model_3</w:t>
      </w:r>
    </w:p>
    <w:p w14:paraId="78BB8B54" w14:textId="4B4DCB68" w:rsidR="00251C86" w:rsidRDefault="00251C86" w:rsidP="00E658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A6996" wp14:editId="1A9B11F0">
            <wp:extent cx="5940425" cy="383032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3B96" w14:textId="3F99D186" w:rsidR="00E6581D" w:rsidRDefault="00E6581D" w:rsidP="00E6581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07EA95" w14:textId="49BF14FE" w:rsidR="00A418F3" w:rsidRDefault="00A418F3" w:rsidP="00E6581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2953D53" w14:textId="725E65F3" w:rsidR="00A418F3" w:rsidRDefault="00A418F3" w:rsidP="00E6581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7A2273" w14:textId="2A886354" w:rsidR="00A418F3" w:rsidRDefault="00A418F3" w:rsidP="00E6581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D576747" w14:textId="2D21FFDC" w:rsidR="00A418F3" w:rsidRDefault="00A418F3" w:rsidP="00E6581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C617870" w14:textId="77777777" w:rsidR="00A418F3" w:rsidRPr="00E6581D" w:rsidRDefault="00A418F3" w:rsidP="00E6581D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498E4FF" w14:textId="3801FA2E" w:rsidR="0010455C" w:rsidRPr="00E6581D" w:rsidRDefault="0010455C" w:rsidP="00E6581D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6581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Приложение 10. 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Cook’s distances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на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6581D">
        <w:rPr>
          <w:rFonts w:ascii="Times New Roman" w:hAnsi="Times New Roman" w:cs="Times New Roman"/>
          <w:i/>
          <w:iCs/>
          <w:sz w:val="28"/>
          <w:szCs w:val="28"/>
        </w:rPr>
        <w:t>модели</w:t>
      </w:r>
      <w:r w:rsidRPr="00E658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model_3.</w:t>
      </w:r>
    </w:p>
    <w:p w14:paraId="3EE779D9" w14:textId="5DB4A85B" w:rsidR="00994F30" w:rsidRPr="0010455C" w:rsidRDefault="00994F30" w:rsidP="00E658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B9D79" wp14:editId="31E3C41C">
            <wp:extent cx="5940425" cy="3841750"/>
            <wp:effectExtent l="0" t="0" r="3175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30" w:rsidRPr="0010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A79E1" w14:textId="77777777" w:rsidR="00702C7D" w:rsidRDefault="00702C7D" w:rsidP="000C2975">
      <w:pPr>
        <w:spacing w:after="0" w:line="240" w:lineRule="auto"/>
      </w:pPr>
      <w:r>
        <w:separator/>
      </w:r>
    </w:p>
  </w:endnote>
  <w:endnote w:type="continuationSeparator" w:id="0">
    <w:p w14:paraId="5A2964D8" w14:textId="77777777" w:rsidR="00702C7D" w:rsidRDefault="00702C7D" w:rsidP="000C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9E781" w14:textId="77777777" w:rsidR="00702C7D" w:rsidRDefault="00702C7D" w:rsidP="000C2975">
      <w:pPr>
        <w:spacing w:after="0" w:line="240" w:lineRule="auto"/>
      </w:pPr>
      <w:r>
        <w:separator/>
      </w:r>
    </w:p>
  </w:footnote>
  <w:footnote w:type="continuationSeparator" w:id="0">
    <w:p w14:paraId="79079376" w14:textId="77777777" w:rsidR="00702C7D" w:rsidRDefault="00702C7D" w:rsidP="000C2975">
      <w:pPr>
        <w:spacing w:after="0" w:line="240" w:lineRule="auto"/>
      </w:pPr>
      <w:r>
        <w:continuationSeparator/>
      </w:r>
    </w:p>
  </w:footnote>
  <w:footnote w:id="1">
    <w:p w14:paraId="32529A87" w14:textId="6F03C2C6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Case, A., &amp; Deaton, A. (2020).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Deaths of Despair and the Future of Capitalism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Princeton University Press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4F400F20" w14:textId="25FF05FC" w:rsidR="00485D8E" w:rsidRPr="00725D2C" w:rsidRDefault="00485D8E" w:rsidP="00725D2C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</w:footnote>
  <w:footnote w:id="2">
    <w:p w14:paraId="40DDD7C3" w14:textId="53BB2C4E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Rice, R. W., Near, J. P., &amp; Hunt, R. G. (1980). The Job-Satisfaction / Life-Satisfaction Relationship: A Review of Empirical Research.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Basic and Applied Social Psychology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1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(1), 37-64.</w:t>
      </w:r>
    </w:p>
  </w:footnote>
  <w:footnote w:id="3">
    <w:p w14:paraId="66EFCFA7" w14:textId="404A2929" w:rsidR="00485D8E" w:rsidRPr="00725D2C" w:rsidRDefault="00485D8E" w:rsidP="00725D2C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Rice, R. W., McFarlin, D. B., Hunt, R. G., &amp; Near, J. P. (1985). Job importance as a moderator of the relationship between job satisfaction and life satisfaction. Basic and Applied Social Psychology, 6(4), 297-316.</w:t>
      </w:r>
    </w:p>
  </w:footnote>
  <w:footnote w:id="4">
    <w:p w14:paraId="00D71CDD" w14:textId="33FA5F44" w:rsidR="00485D8E" w:rsidRPr="00725D2C" w:rsidRDefault="00485D8E" w:rsidP="00725D2C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Kantak, D. M., Futrell, C. M., &amp; Sager, J. K. (1992). Job satisfaction and life satisfaction in a sales force. Journal of Personal Selling &amp; Sales Management, 12(1), 1-7.</w:t>
      </w:r>
    </w:p>
  </w:footnote>
  <w:footnote w:id="5">
    <w:p w14:paraId="0C005B53" w14:textId="6B32CA8F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Bayram, N., Aytac, S., Aytac, M., Sam, N., &amp; Bilgel, N. (2012). Poverty, Social Exclusion, and Life Satisfaction: A Study from Turkey.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Journal of Poverty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16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(4), 375-391.</w:t>
      </w:r>
    </w:p>
  </w:footnote>
  <w:footnote w:id="6">
    <w:p w14:paraId="0814B899" w14:textId="5958D0B2" w:rsidR="00725D2C" w:rsidRPr="00725D2C" w:rsidRDefault="00725D2C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Ampofo, E. T. (2020). Do Job Satisfaction and Work Engagement Mediate the Effects of Psychological Contract Breach and Abusive Supervision on Hotel Employees’ Life Satisfaction?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Journal of Hospitality Marketing &amp; Management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1-23.</w:t>
      </w:r>
    </w:p>
  </w:footnote>
  <w:footnote w:id="7">
    <w:p w14:paraId="1718CA6F" w14:textId="3DD68F45" w:rsidR="00485D8E" w:rsidRPr="00725D2C" w:rsidRDefault="00485D8E" w:rsidP="00725D2C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Brown, D., &amp; McIntosh, S. (2003). Job satisfaction in the low wage service sector. </w:t>
      </w:r>
      <w:r w:rsidRPr="00725D2C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Applied Economics, 35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>(10), 1241-1254.</w:t>
      </w:r>
    </w:p>
  </w:footnote>
  <w:footnote w:id="8">
    <w:p w14:paraId="7AFF2488" w14:textId="34881A42" w:rsidR="00485D8E" w:rsidRPr="00725D2C" w:rsidRDefault="00485D8E" w:rsidP="00725D2C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Grund, C., &amp; Schmitt, A. (2011). Works councils, </w:t>
      </w:r>
      <w:proofErr w:type="gramStart"/>
      <w:r w:rsidRPr="00725D2C">
        <w:rPr>
          <w:rFonts w:ascii="Times New Roman" w:hAnsi="Times New Roman" w:cs="Times New Roman"/>
          <w:sz w:val="24"/>
          <w:szCs w:val="24"/>
          <w:lang w:val="en-US"/>
        </w:rPr>
        <w:t>wages</w:t>
      </w:r>
      <w:proofErr w:type="gramEnd"/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and job satisfaction. </w:t>
      </w:r>
      <w:r w:rsidRPr="00725D2C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Applied Economics, 45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>(3), 299-310.</w:t>
      </w:r>
    </w:p>
  </w:footnote>
  <w:footnote w:id="9">
    <w:p w14:paraId="7DAA3826" w14:textId="7D4AF3FF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Charman, C., &amp; Owen, A. L. (2014). Collective Happiness: Labour Union Membership and Life Satisfaction.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Applied Economics Letters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21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(13), 924-927.</w:t>
      </w:r>
    </w:p>
  </w:footnote>
  <w:footnote w:id="10">
    <w:p w14:paraId="063905AA" w14:textId="18C22878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Borjas, G. J. (1979). Job Satisfaction, Wages, and Unions.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Journal of Human Resources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21-40.</w:t>
      </w:r>
    </w:p>
  </w:footnote>
  <w:footnote w:id="11">
    <w:p w14:paraId="59AC247D" w14:textId="4FD50C55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Donado, A., &amp; Wa¨ lde, K. (2012). How Trade Unions Increase Welfare.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The Economic Journal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122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(563), 990-1009.</w:t>
      </w:r>
    </w:p>
  </w:footnote>
  <w:footnote w:id="12">
    <w:p w14:paraId="3C00B696" w14:textId="4A57A3CF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Hammer, T. H., &amp; Avgar, A. (2005). The Impact of Unions on Job Satisfaction, Organizational Commitment, and Turnover.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Journal of Labor Research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26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(2), 241-266.</w:t>
      </w:r>
    </w:p>
  </w:footnote>
  <w:footnote w:id="13">
    <w:p w14:paraId="0BC3D0EF" w14:textId="6F646475" w:rsidR="00485D8E" w:rsidRPr="00725D2C" w:rsidRDefault="00485D8E" w:rsidP="00725D2C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Mysíková, M., &amp; Večerník, J. (2013). Job satisfaction across Europe: differences between and within regions. </w:t>
      </w:r>
      <w:r w:rsidRPr="00725D2C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Post-communist economies, 25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>(4), 539-556.</w:t>
      </w:r>
    </w:p>
  </w:footnote>
  <w:footnote w:id="14">
    <w:p w14:paraId="15E27951" w14:textId="3A65E134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Saridakis, G., Lai, Y., Muñoz Torres, R. I., &amp; Gourlay, S. (2020). Exploring the relationship between job satisfaction and organizational commitment: an instrumental variable approach. </w:t>
      </w:r>
      <w:r w:rsidRPr="00725D2C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International Journal of Human Resource Management, 31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>(13), 1739-1769.</w:t>
      </w:r>
    </w:p>
  </w:footnote>
  <w:footnote w:id="15">
    <w:p w14:paraId="3A58825A" w14:textId="0446DB9C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Dataset: EES9-2018, ed. 3.0 // European Social Survey URL: https://www.europeansocialsurvey.org/download.html?file=ESS9e03&amp;y=2018 (</w:t>
      </w:r>
      <w:r w:rsidRPr="00725D2C">
        <w:rPr>
          <w:rFonts w:ascii="Times New Roman" w:hAnsi="Times New Roman" w:cs="Times New Roman"/>
          <w:sz w:val="24"/>
          <w:szCs w:val="24"/>
        </w:rPr>
        <w:t>дата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sz w:val="24"/>
          <w:szCs w:val="24"/>
        </w:rPr>
        <w:t>обращения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>: 10.12.2020).</w:t>
      </w:r>
    </w:p>
  </w:footnote>
  <w:footnote w:id="16">
    <w:p w14:paraId="4F7413AA" w14:textId="0F525424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Organisation for Economic Co-Operation and Development Trade Union Statistics 2018 // OECD URL: </w:t>
      </w:r>
      <w:hyperlink r:id="rId1" w:history="1">
        <w:r w:rsidRPr="00725D2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https://stats.oecd.org/Index.aspx?DataSetCode=TUD</w:t>
        </w:r>
      </w:hyperlink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25D2C">
        <w:rPr>
          <w:rFonts w:ascii="Times New Roman" w:hAnsi="Times New Roman" w:cs="Times New Roman"/>
          <w:sz w:val="24"/>
          <w:szCs w:val="24"/>
        </w:rPr>
        <w:t>дата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sz w:val="24"/>
          <w:szCs w:val="24"/>
        </w:rPr>
        <w:t>обращения</w:t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>: 10.12.2020).</w:t>
      </w:r>
    </w:p>
  </w:footnote>
  <w:footnote w:id="17">
    <w:p w14:paraId="5B9938D3" w14:textId="01FB8CB4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Boyraz, G., &amp; Sayger, T. V. (2009). An Exploratory Path Analysis of the Factors Contributing to Life Satisfaction in Fathers.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The Journal of Positive Psychology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4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(2), 145-154.</w:t>
      </w:r>
    </w:p>
  </w:footnote>
  <w:footnote w:id="18">
    <w:p w14:paraId="5B5487A6" w14:textId="341E49F9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Berenbaum, H., Chow, P. I., Schoenleber, M., &amp; Flores Jr, L. E. (2013). Pleasurable Emotions, Age, and Life Satisfaction.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The Journal of Positive Psychology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8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(2), 140-143.</w:t>
      </w:r>
    </w:p>
  </w:footnote>
  <w:footnote w:id="19">
    <w:p w14:paraId="3ED89FCD" w14:textId="3DBB2406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Hevenstone, D. (2011). Flexicurity, Happiness, and Satisfaction.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International 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J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ournal of 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S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ociology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41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7-45.</w:t>
      </w:r>
    </w:p>
  </w:footnote>
  <w:footnote w:id="20">
    <w:p w14:paraId="391F70B5" w14:textId="3D697F13" w:rsidR="00485D8E" w:rsidRPr="00725D2C" w:rsidRDefault="00485D8E" w:rsidP="00725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5D2C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72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Bayram, N., Aytac, S., Aytac, M., Sam, N., &amp; Bilgel, N. (2012). Poverty, Social Exclusion, and Life Satisfaction: A Study from Turkey.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Journal of Poverty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 </w:t>
      </w:r>
      <w:r w:rsidRPr="00725D2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16</w:t>
      </w:r>
      <w:r w:rsidRPr="00725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(4), 375-391.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AF3"/>
    <w:multiLevelType w:val="hybridMultilevel"/>
    <w:tmpl w:val="01187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015"/>
    <w:multiLevelType w:val="hybridMultilevel"/>
    <w:tmpl w:val="68642732"/>
    <w:lvl w:ilvl="0" w:tplc="FFC6F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20E8C"/>
    <w:multiLevelType w:val="hybridMultilevel"/>
    <w:tmpl w:val="6CB4C6FE"/>
    <w:lvl w:ilvl="0" w:tplc="959E3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14493D"/>
    <w:multiLevelType w:val="hybridMultilevel"/>
    <w:tmpl w:val="CF2A2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372D4"/>
    <w:multiLevelType w:val="hybridMultilevel"/>
    <w:tmpl w:val="19B6C3B0"/>
    <w:lvl w:ilvl="0" w:tplc="148E0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A70227"/>
    <w:multiLevelType w:val="hybridMultilevel"/>
    <w:tmpl w:val="5D76F5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1A"/>
    <w:rsid w:val="000108AA"/>
    <w:rsid w:val="00050A5F"/>
    <w:rsid w:val="000847E0"/>
    <w:rsid w:val="00093886"/>
    <w:rsid w:val="000956D4"/>
    <w:rsid w:val="000B3A85"/>
    <w:rsid w:val="000B5B94"/>
    <w:rsid w:val="000C2975"/>
    <w:rsid w:val="000D2148"/>
    <w:rsid w:val="000D247F"/>
    <w:rsid w:val="0010455C"/>
    <w:rsid w:val="00114FE4"/>
    <w:rsid w:val="001236EB"/>
    <w:rsid w:val="00142342"/>
    <w:rsid w:val="00151CCE"/>
    <w:rsid w:val="001617BC"/>
    <w:rsid w:val="00162E58"/>
    <w:rsid w:val="00185404"/>
    <w:rsid w:val="001A7B02"/>
    <w:rsid w:val="001B5727"/>
    <w:rsid w:val="001C259A"/>
    <w:rsid w:val="001D5CC2"/>
    <w:rsid w:val="001E0EDC"/>
    <w:rsid w:val="00202B59"/>
    <w:rsid w:val="00245F6B"/>
    <w:rsid w:val="00251C86"/>
    <w:rsid w:val="002622D9"/>
    <w:rsid w:val="00272C49"/>
    <w:rsid w:val="00280C46"/>
    <w:rsid w:val="00283401"/>
    <w:rsid w:val="00290525"/>
    <w:rsid w:val="0029648B"/>
    <w:rsid w:val="002A27DD"/>
    <w:rsid w:val="00306CAF"/>
    <w:rsid w:val="00314EAB"/>
    <w:rsid w:val="00317994"/>
    <w:rsid w:val="00326DC9"/>
    <w:rsid w:val="003322F8"/>
    <w:rsid w:val="00386380"/>
    <w:rsid w:val="003D30FA"/>
    <w:rsid w:val="003D6F65"/>
    <w:rsid w:val="003F513D"/>
    <w:rsid w:val="003F68AD"/>
    <w:rsid w:val="0041681A"/>
    <w:rsid w:val="00426116"/>
    <w:rsid w:val="00444DF1"/>
    <w:rsid w:val="004652DD"/>
    <w:rsid w:val="00474B98"/>
    <w:rsid w:val="00485D8E"/>
    <w:rsid w:val="004D3DF0"/>
    <w:rsid w:val="004D57F3"/>
    <w:rsid w:val="005042F5"/>
    <w:rsid w:val="00504774"/>
    <w:rsid w:val="005079D1"/>
    <w:rsid w:val="00521B4A"/>
    <w:rsid w:val="0052244B"/>
    <w:rsid w:val="00524F64"/>
    <w:rsid w:val="00537389"/>
    <w:rsid w:val="00572EDD"/>
    <w:rsid w:val="005A541D"/>
    <w:rsid w:val="005B10E8"/>
    <w:rsid w:val="005E2C10"/>
    <w:rsid w:val="0060122A"/>
    <w:rsid w:val="00610AC0"/>
    <w:rsid w:val="006152F7"/>
    <w:rsid w:val="0065625C"/>
    <w:rsid w:val="0068733B"/>
    <w:rsid w:val="00690B8D"/>
    <w:rsid w:val="00691268"/>
    <w:rsid w:val="0069372B"/>
    <w:rsid w:val="006B6C96"/>
    <w:rsid w:val="006C0473"/>
    <w:rsid w:val="006C0BBC"/>
    <w:rsid w:val="006C32A5"/>
    <w:rsid w:val="006D2784"/>
    <w:rsid w:val="006D488A"/>
    <w:rsid w:val="00702C7D"/>
    <w:rsid w:val="00725D2C"/>
    <w:rsid w:val="00727F0E"/>
    <w:rsid w:val="00776EA8"/>
    <w:rsid w:val="00782B46"/>
    <w:rsid w:val="00790892"/>
    <w:rsid w:val="00792D95"/>
    <w:rsid w:val="007A0240"/>
    <w:rsid w:val="007C6696"/>
    <w:rsid w:val="007E6370"/>
    <w:rsid w:val="00801259"/>
    <w:rsid w:val="00854EC7"/>
    <w:rsid w:val="0087573B"/>
    <w:rsid w:val="00876947"/>
    <w:rsid w:val="00877DBD"/>
    <w:rsid w:val="008A41F6"/>
    <w:rsid w:val="00900AB5"/>
    <w:rsid w:val="009121D4"/>
    <w:rsid w:val="00921BF0"/>
    <w:rsid w:val="00935545"/>
    <w:rsid w:val="009621BF"/>
    <w:rsid w:val="00994F30"/>
    <w:rsid w:val="009C6C0D"/>
    <w:rsid w:val="009C7EEC"/>
    <w:rsid w:val="00A418F3"/>
    <w:rsid w:val="00A4306D"/>
    <w:rsid w:val="00A53925"/>
    <w:rsid w:val="00A54D1A"/>
    <w:rsid w:val="00A63A81"/>
    <w:rsid w:val="00A72B97"/>
    <w:rsid w:val="00A7686F"/>
    <w:rsid w:val="00A76F03"/>
    <w:rsid w:val="00B02BD2"/>
    <w:rsid w:val="00B14F08"/>
    <w:rsid w:val="00B416FF"/>
    <w:rsid w:val="00B550BC"/>
    <w:rsid w:val="00B81AD1"/>
    <w:rsid w:val="00B91FF2"/>
    <w:rsid w:val="00BA4140"/>
    <w:rsid w:val="00BC4016"/>
    <w:rsid w:val="00BE0D09"/>
    <w:rsid w:val="00BE136D"/>
    <w:rsid w:val="00C06268"/>
    <w:rsid w:val="00C62FBB"/>
    <w:rsid w:val="00C94594"/>
    <w:rsid w:val="00CA6BE1"/>
    <w:rsid w:val="00CB3532"/>
    <w:rsid w:val="00CB735A"/>
    <w:rsid w:val="00CC19A6"/>
    <w:rsid w:val="00CE2DF1"/>
    <w:rsid w:val="00CE47BA"/>
    <w:rsid w:val="00CF10EA"/>
    <w:rsid w:val="00D1247F"/>
    <w:rsid w:val="00D42809"/>
    <w:rsid w:val="00DA7C00"/>
    <w:rsid w:val="00DC792F"/>
    <w:rsid w:val="00DE0898"/>
    <w:rsid w:val="00DE6526"/>
    <w:rsid w:val="00E065D5"/>
    <w:rsid w:val="00E066D1"/>
    <w:rsid w:val="00E43B28"/>
    <w:rsid w:val="00E46B6A"/>
    <w:rsid w:val="00E513A9"/>
    <w:rsid w:val="00E6581D"/>
    <w:rsid w:val="00E660E5"/>
    <w:rsid w:val="00E852E6"/>
    <w:rsid w:val="00EA1598"/>
    <w:rsid w:val="00EB2FB5"/>
    <w:rsid w:val="00EB7C1B"/>
    <w:rsid w:val="00F22AD5"/>
    <w:rsid w:val="00F26B65"/>
    <w:rsid w:val="00F30279"/>
    <w:rsid w:val="00F52C90"/>
    <w:rsid w:val="00F53FD6"/>
    <w:rsid w:val="00F55920"/>
    <w:rsid w:val="00F85075"/>
    <w:rsid w:val="00F8579F"/>
    <w:rsid w:val="00F859FC"/>
    <w:rsid w:val="00F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2F57"/>
  <w15:chartTrackingRefBased/>
  <w15:docId w15:val="{8A44CF78-EA22-4185-B917-7A33363D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FB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C297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C297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C2975"/>
    <w:rPr>
      <w:vertAlign w:val="superscript"/>
    </w:rPr>
  </w:style>
  <w:style w:type="character" w:styleId="a7">
    <w:name w:val="Hyperlink"/>
    <w:basedOn w:val="a0"/>
    <w:uiPriority w:val="99"/>
    <w:unhideWhenUsed/>
    <w:rsid w:val="005E2C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stats.oecd.org/Index.aspx?DataSetCode=TU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s.oecd.org/Index.aspx?DataSetCode=T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50A1-3451-4B8B-85AA-EC440E52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30</Pages>
  <Words>4267</Words>
  <Characters>24328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Медведев</dc:creator>
  <cp:keywords/>
  <dc:description/>
  <cp:lastModifiedBy>Виктор Медведев</cp:lastModifiedBy>
  <cp:revision>77</cp:revision>
  <dcterms:created xsi:type="dcterms:W3CDTF">2020-12-11T02:20:00Z</dcterms:created>
  <dcterms:modified xsi:type="dcterms:W3CDTF">2020-12-13T14:25:00Z</dcterms:modified>
</cp:coreProperties>
</file>