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lang w:val="ru-RU"/>
        </w:rPr>
        <w:t>Лабораторная номер 6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lang w:val="ru-RU"/>
        </w:rPr>
        <w:t xml:space="preserve">Диаграмма последовательности варианта использования 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6120130" cy="5196840"/>
            <wp:effectExtent l="0" t="0" r="0" b="0"/>
            <wp:docPr id="1" name="Object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9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lang w:val="ru-RU"/>
        </w:rPr>
        <w:t xml:space="preserve">Диаграмма классов для вариантов использования 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  <w:lang w:val="ru-RU"/>
        </w:rPr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6120130" cy="3830955"/>
            <wp:effectExtent l="0" t="0" r="0" b="0"/>
            <wp:docPr id="2" name="Object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30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PSMT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