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"П"</w:t>
      </w:r>
    </w:p>
    <w:p>
      <w:pPr>
        <w:jc w:val="center"/>
      </w:pPr>
      <w:r>
        <w:rPr>
          <w:sz w:val="32"/>
          <w:szCs w:val="32"/>
          <w:b/>
          <w:bCs/>
        </w:rPr>
        <w:t xml:space="preserve">"Будівництво вежі по вул. Соборній, 25"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123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Олімп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Генеральний олімп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Олімп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Стівен Кінг, 3432432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авпапар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kdfgjdfhgjdfhgd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Іванов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Стівен Кінг</dc:creator>
  <dc:title/>
  <dc:description/>
  <dc:subject/>
  <cp:keywords/>
  <cp:category/>
  <cp:lastModifiedBy/>
  <dcterms:created xsi:type="dcterms:W3CDTF">2018-07-29T18:12:52+03:00</dcterms:created>
  <dcterms:modified xsi:type="dcterms:W3CDTF">2018-07-29T18:12:52+03:00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