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6EEFC" w14:textId="77777777" w:rsidR="00952F7D" w:rsidRDefault="00DF198B" w:rsidP="00DF198B">
      <w:pPr>
        <w:pStyle w:val="GraphicAnchor"/>
      </w:pPr>
      <w:r w:rsidRPr="004909D9">
        <w:rPr>
          <w:noProof/>
          <w:lang w:val="en-AU" w:eastAsia="en-AU"/>
        </w:rPr>
        <w:drawing>
          <wp:anchor distT="0" distB="0" distL="114300" distR="114300" simplePos="0" relativeHeight="251657216" behindDoc="1" locked="1" layoutInCell="1" allowOverlap="1" wp14:anchorId="5916BE8F" wp14:editId="58995DE6">
            <wp:simplePos x="0" y="0"/>
            <wp:positionH relativeFrom="margin">
              <wp:align>left</wp:align>
            </wp:positionH>
            <wp:positionV relativeFrom="margin">
              <wp:align>top</wp:align>
            </wp:positionV>
            <wp:extent cx="6858000" cy="9144000"/>
            <wp:effectExtent l="0" t="0" r="0" b="0"/>
            <wp:wrapNone/>
            <wp:docPr id="1" name="Picture 1" descr="Decorative">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Layout w:type="fixed"/>
        <w:tblCellMar>
          <w:left w:w="0" w:type="dxa"/>
          <w:right w:w="0" w:type="dxa"/>
        </w:tblCellMar>
        <w:tblLook w:val="0600" w:firstRow="0" w:lastRow="0" w:firstColumn="0" w:lastColumn="0" w:noHBand="1" w:noVBand="1"/>
      </w:tblPr>
      <w:tblGrid>
        <w:gridCol w:w="1170"/>
        <w:gridCol w:w="28"/>
        <w:gridCol w:w="1142"/>
        <w:gridCol w:w="57"/>
        <w:gridCol w:w="5995"/>
        <w:gridCol w:w="68"/>
        <w:gridCol w:w="1131"/>
        <w:gridCol w:w="39"/>
        <w:gridCol w:w="1160"/>
      </w:tblGrid>
      <w:tr w:rsidR="00DF198B" w14:paraId="1142CBCB" w14:textId="77777777" w:rsidTr="00EB7C2B">
        <w:trPr>
          <w:trHeight w:val="1083"/>
        </w:trPr>
        <w:tc>
          <w:tcPr>
            <w:tcW w:w="10790" w:type="dxa"/>
            <w:gridSpan w:val="9"/>
          </w:tcPr>
          <w:p w14:paraId="105B150A" w14:textId="77777777" w:rsidR="00DF198B" w:rsidRDefault="00DF198B"/>
        </w:tc>
      </w:tr>
      <w:tr w:rsidR="00DF198B" w14:paraId="6CFD5B99" w14:textId="77777777" w:rsidTr="00EB7C2B">
        <w:trPr>
          <w:trHeight w:val="1068"/>
        </w:trPr>
        <w:tc>
          <w:tcPr>
            <w:tcW w:w="1198" w:type="dxa"/>
            <w:gridSpan w:val="2"/>
            <w:tcBorders>
              <w:right w:val="single" w:sz="18" w:space="0" w:color="476166" w:themeColor="accent1"/>
            </w:tcBorders>
          </w:tcPr>
          <w:p w14:paraId="4A90F633"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3641D8FF" w14:textId="784EB5E1" w:rsidR="00DF198B" w:rsidRPr="00DF198B" w:rsidRDefault="0009433F" w:rsidP="00EB7C2B">
            <w:pPr>
              <w:pStyle w:val="Heading1"/>
            </w:pPr>
            <w:proofErr w:type="spellStart"/>
            <w:r>
              <w:t>SpendSence</w:t>
            </w:r>
            <w:proofErr w:type="spellEnd"/>
          </w:p>
        </w:tc>
        <w:tc>
          <w:tcPr>
            <w:tcW w:w="1199" w:type="dxa"/>
            <w:gridSpan w:val="2"/>
            <w:tcBorders>
              <w:left w:val="single" w:sz="18" w:space="0" w:color="476166" w:themeColor="accent1"/>
            </w:tcBorders>
          </w:tcPr>
          <w:p w14:paraId="172E79A5" w14:textId="77777777" w:rsidR="00DF198B" w:rsidRDefault="00DF198B"/>
        </w:tc>
      </w:tr>
      <w:tr w:rsidR="00DF198B" w14:paraId="2BC4905E" w14:textId="77777777" w:rsidTr="00EB7C2B">
        <w:trPr>
          <w:trHeight w:val="1837"/>
        </w:trPr>
        <w:tc>
          <w:tcPr>
            <w:tcW w:w="1170" w:type="dxa"/>
          </w:tcPr>
          <w:p w14:paraId="4EAFE050" w14:textId="77777777" w:rsidR="00DF198B" w:rsidRDefault="00DF198B"/>
        </w:tc>
        <w:tc>
          <w:tcPr>
            <w:tcW w:w="8460" w:type="dxa"/>
            <w:gridSpan w:val="7"/>
          </w:tcPr>
          <w:p w14:paraId="4C3D2DE9" w14:textId="77777777" w:rsidR="00DF198B" w:rsidRDefault="00DF198B"/>
        </w:tc>
        <w:tc>
          <w:tcPr>
            <w:tcW w:w="1160" w:type="dxa"/>
          </w:tcPr>
          <w:p w14:paraId="62171D1B" w14:textId="77777777" w:rsidR="00DF198B" w:rsidRDefault="00DF198B"/>
        </w:tc>
      </w:tr>
      <w:tr w:rsidR="00DF198B" w14:paraId="42B20245" w14:textId="77777777" w:rsidTr="00EB7C2B">
        <w:trPr>
          <w:trHeight w:val="929"/>
        </w:trPr>
        <w:tc>
          <w:tcPr>
            <w:tcW w:w="2397" w:type="dxa"/>
            <w:gridSpan w:val="4"/>
          </w:tcPr>
          <w:p w14:paraId="2EE32DC8" w14:textId="77777777" w:rsidR="00DF198B" w:rsidRDefault="00DF198B"/>
        </w:tc>
        <w:tc>
          <w:tcPr>
            <w:tcW w:w="5995" w:type="dxa"/>
            <w:shd w:val="clear" w:color="auto" w:fill="FFFFFF" w:themeFill="background1"/>
          </w:tcPr>
          <w:p w14:paraId="5C601E02" w14:textId="77777777" w:rsidR="00DF198B" w:rsidRPr="00DF198B" w:rsidRDefault="00DF198B" w:rsidP="00DF198B">
            <w:pPr>
              <w:jc w:val="center"/>
              <w:rPr>
                <w:rFonts w:ascii="Georgia" w:hAnsi="Georgia"/>
                <w:sz w:val="48"/>
                <w:szCs w:val="48"/>
              </w:rPr>
            </w:pPr>
          </w:p>
        </w:tc>
        <w:tc>
          <w:tcPr>
            <w:tcW w:w="2398" w:type="dxa"/>
            <w:gridSpan w:val="4"/>
          </w:tcPr>
          <w:p w14:paraId="6E6C1016" w14:textId="77777777" w:rsidR="00DF198B" w:rsidRDefault="00DF198B"/>
        </w:tc>
      </w:tr>
      <w:tr w:rsidR="00DF198B" w14:paraId="1A3EAC0D" w14:textId="77777777" w:rsidTr="00EB7C2B">
        <w:trPr>
          <w:trHeight w:val="1460"/>
        </w:trPr>
        <w:tc>
          <w:tcPr>
            <w:tcW w:w="2397" w:type="dxa"/>
            <w:gridSpan w:val="4"/>
          </w:tcPr>
          <w:p w14:paraId="420DE8A8" w14:textId="77777777" w:rsidR="00DF198B" w:rsidRDefault="00DF198B"/>
        </w:tc>
        <w:tc>
          <w:tcPr>
            <w:tcW w:w="5995" w:type="dxa"/>
            <w:shd w:val="clear" w:color="auto" w:fill="FFFFFF" w:themeFill="background1"/>
          </w:tcPr>
          <w:p w14:paraId="2AA35BD6" w14:textId="72B0729E" w:rsidR="00DF198B" w:rsidRPr="00DF198B" w:rsidRDefault="007A1BC6" w:rsidP="00EB7C2B">
            <w:pPr>
              <w:pStyle w:val="Heading2"/>
            </w:pPr>
            <w:r>
              <w:t>Load Test Report</w:t>
            </w:r>
          </w:p>
        </w:tc>
        <w:tc>
          <w:tcPr>
            <w:tcW w:w="2398" w:type="dxa"/>
            <w:gridSpan w:val="4"/>
          </w:tcPr>
          <w:p w14:paraId="5806DC4F" w14:textId="77777777" w:rsidR="00DF198B" w:rsidRDefault="00DF198B"/>
        </w:tc>
      </w:tr>
      <w:tr w:rsidR="00DF198B" w14:paraId="130F9915" w14:textId="77777777" w:rsidTr="00EB7C2B">
        <w:trPr>
          <w:trHeight w:val="7176"/>
        </w:trPr>
        <w:tc>
          <w:tcPr>
            <w:tcW w:w="2397" w:type="dxa"/>
            <w:gridSpan w:val="4"/>
          </w:tcPr>
          <w:p w14:paraId="715B3108"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tcPr>
          <w:p w14:paraId="5274F698" w14:textId="0744C9C0" w:rsidR="00DF198B" w:rsidRPr="00DF198B" w:rsidRDefault="007A1BC6" w:rsidP="00874FE7">
            <w:pPr>
              <w:pStyle w:val="Heading3"/>
            </w:pPr>
            <w:r>
              <w:t>May</w:t>
            </w:r>
            <w:r w:rsidR="0009433F">
              <w:t>, 2025</w:t>
            </w:r>
          </w:p>
          <w:p w14:paraId="6C24F444" w14:textId="77777777" w:rsidR="00874FE7" w:rsidRPr="00DF198B" w:rsidRDefault="00000000" w:rsidP="00874FE7">
            <w:pPr>
              <w:pStyle w:val="Heading3"/>
            </w:pPr>
            <w:sdt>
              <w:sdtPr>
                <w:id w:val="-1516760087"/>
                <w:placeholder>
                  <w:docPart w:val="7C283958214C4D35890ACD491A3140E2"/>
                </w:placeholder>
                <w:temporary/>
                <w:showingPlcHdr/>
                <w15:appearance w15:val="hidden"/>
              </w:sdtPr>
              <w:sdtContent>
                <w:r w:rsidR="00874FE7" w:rsidRPr="00DF198B">
                  <w:t>—</w:t>
                </w:r>
              </w:sdtContent>
            </w:sdt>
          </w:p>
          <w:p w14:paraId="60BBC6BE" w14:textId="2AD21234" w:rsidR="00DF198B" w:rsidRPr="00DF198B" w:rsidRDefault="0009433F" w:rsidP="00874FE7">
            <w:pPr>
              <w:pStyle w:val="Heading3"/>
            </w:pPr>
            <w:r>
              <w:t>Viktoria Todorova</w:t>
            </w:r>
          </w:p>
          <w:p w14:paraId="1EC4528C" w14:textId="77777777" w:rsidR="00DF198B" w:rsidRPr="00DF198B" w:rsidRDefault="00000000" w:rsidP="00874FE7">
            <w:pPr>
              <w:pStyle w:val="Heading3"/>
            </w:pPr>
            <w:sdt>
              <w:sdtPr>
                <w:id w:val="1492440299"/>
                <w:placeholder>
                  <w:docPart w:val="3DE5F991FE1F4EECA1C63152DEBF1B5A"/>
                </w:placeholder>
                <w:temporary/>
                <w:showingPlcHdr/>
                <w15:appearance w15:val="hidden"/>
              </w:sdtPr>
              <w:sdtContent>
                <w:r w:rsidR="00874FE7" w:rsidRPr="00DF198B">
                  <w:t>—</w:t>
                </w:r>
              </w:sdtContent>
            </w:sdt>
          </w:p>
          <w:p w14:paraId="6C9F916F" w14:textId="0DD29B8B" w:rsidR="00DF198B" w:rsidRDefault="0009433F" w:rsidP="00874FE7">
            <w:pPr>
              <w:pStyle w:val="Heading3"/>
            </w:pPr>
            <w:r>
              <w:t>First Draft</w:t>
            </w:r>
          </w:p>
          <w:p w14:paraId="409B4197" w14:textId="77777777" w:rsidR="00DF198B" w:rsidRPr="00DF198B" w:rsidRDefault="00DF198B" w:rsidP="00DF198B"/>
        </w:tc>
        <w:tc>
          <w:tcPr>
            <w:tcW w:w="2398" w:type="dxa"/>
            <w:gridSpan w:val="4"/>
          </w:tcPr>
          <w:p w14:paraId="1F3017D9" w14:textId="77777777" w:rsidR="00DF198B" w:rsidRDefault="00DF198B" w:rsidP="00DF198B">
            <w:pPr>
              <w:jc w:val="center"/>
            </w:pPr>
          </w:p>
        </w:tc>
      </w:tr>
      <w:tr w:rsidR="00DF198B" w14:paraId="6C1122AE" w14:textId="77777777" w:rsidTr="00EB7C2B">
        <w:tc>
          <w:tcPr>
            <w:tcW w:w="2340" w:type="dxa"/>
            <w:gridSpan w:val="3"/>
          </w:tcPr>
          <w:p w14:paraId="58706569" w14:textId="77777777" w:rsidR="00DF198B" w:rsidRDefault="00DF198B"/>
        </w:tc>
        <w:tc>
          <w:tcPr>
            <w:tcW w:w="6120" w:type="dxa"/>
            <w:gridSpan w:val="3"/>
          </w:tcPr>
          <w:p w14:paraId="6AEF627B" w14:textId="77777777" w:rsidR="00DF198B" w:rsidRDefault="00DF198B"/>
        </w:tc>
        <w:tc>
          <w:tcPr>
            <w:tcW w:w="2330" w:type="dxa"/>
            <w:gridSpan w:val="3"/>
          </w:tcPr>
          <w:p w14:paraId="7CA1F3C1" w14:textId="77777777" w:rsidR="00DF198B" w:rsidRDefault="00DF198B"/>
        </w:tc>
      </w:tr>
    </w:tbl>
    <w:p w14:paraId="686C58E1" w14:textId="77777777" w:rsidR="00DF198B" w:rsidRDefault="00DF198B"/>
    <w:p w14:paraId="1F9AB0B1" w14:textId="77777777" w:rsidR="00DF198B" w:rsidRDefault="00DF198B" w:rsidP="002D2200">
      <w:pPr>
        <w:pStyle w:val="GraphicAnchor"/>
      </w:pPr>
    </w:p>
    <w:p w14:paraId="5690B68A" w14:textId="77777777" w:rsidR="008143F9" w:rsidRDefault="008143F9">
      <w:pPr>
        <w:rPr>
          <w:sz w:val="28"/>
          <w:szCs w:val="28"/>
        </w:rPr>
      </w:pPr>
      <w:r>
        <w:br w:type="page"/>
      </w:r>
    </w:p>
    <w:p w14:paraId="487CC221" w14:textId="77777777" w:rsidR="008143F9" w:rsidRDefault="008143F9" w:rsidP="008143F9">
      <w:pPr>
        <w:pStyle w:val="Text"/>
        <w:ind w:left="720"/>
      </w:pPr>
    </w:p>
    <w:p w14:paraId="1FFD0982" w14:textId="77777777" w:rsidR="008143F9" w:rsidRDefault="008143F9" w:rsidP="008143F9">
      <w:pPr>
        <w:pStyle w:val="Text"/>
        <w:ind w:left="720"/>
      </w:pPr>
    </w:p>
    <w:p w14:paraId="2A9C8595" w14:textId="6849490C" w:rsidR="00536D51" w:rsidRDefault="00536D51" w:rsidP="00536D51">
      <w:pPr>
        <w:pStyle w:val="Heading1"/>
        <w:ind w:left="864"/>
        <w:jc w:val="left"/>
      </w:pPr>
      <w:r>
        <w:t>Overview</w:t>
      </w:r>
    </w:p>
    <w:p w14:paraId="1106F46E" w14:textId="77777777" w:rsidR="00536D51" w:rsidRPr="00536D51" w:rsidRDefault="00536D51" w:rsidP="00536D51"/>
    <w:p w14:paraId="51BD5EE6" w14:textId="77777777" w:rsidR="00536D51" w:rsidRDefault="00536D51" w:rsidP="00536D51">
      <w:pPr>
        <w:ind w:left="864" w:right="864"/>
      </w:pPr>
      <w:proofErr w:type="spellStart"/>
      <w:r>
        <w:t>SpendSense</w:t>
      </w:r>
      <w:proofErr w:type="spellEnd"/>
      <w:r>
        <w:t xml:space="preserve"> is a modular, containerized web application designed to help users manage their personal or organizational finances. The system is composed of several microservices that handle distinct responsibilities, including budget management, expense tracking, user authentication and authorization, and GDPR compliance orchestration. Each microservice runs in its own Docker container, ensuring modularity, scalability, and ease of deployment.</w:t>
      </w:r>
    </w:p>
    <w:p w14:paraId="68EE791D" w14:textId="77777777" w:rsidR="00536D51" w:rsidRDefault="00536D51" w:rsidP="00536D51">
      <w:pPr>
        <w:ind w:left="864" w:right="864"/>
      </w:pPr>
    </w:p>
    <w:p w14:paraId="1FA94C64" w14:textId="77777777" w:rsidR="00536D51" w:rsidRDefault="00536D51" w:rsidP="00536D51">
      <w:pPr>
        <w:ind w:left="864" w:right="864"/>
      </w:pPr>
      <w:r>
        <w:t xml:space="preserve">The architecture is orchestrated using Docker Compose, which provisions and networks multiple services such as MySQL databases, RabbitMQ (message broker), </w:t>
      </w:r>
      <w:proofErr w:type="spellStart"/>
      <w:r>
        <w:t>Traefik</w:t>
      </w:r>
      <w:proofErr w:type="spellEnd"/>
      <w:r>
        <w:t xml:space="preserve"> (reverse proxy and TLS termination), and Prometheus/Grafana (for observability and metrics visualization). The system supports secure access and monitoring through HTTPS and exposes metrics for performance analysis and alerting.</w:t>
      </w:r>
    </w:p>
    <w:p w14:paraId="3CE45FA9" w14:textId="77777777" w:rsidR="00536D51" w:rsidRDefault="00536D51" w:rsidP="00536D51">
      <w:pPr>
        <w:ind w:left="864" w:right="864"/>
      </w:pPr>
    </w:p>
    <w:p w14:paraId="2036AD3D" w14:textId="77777777" w:rsidR="00536D51" w:rsidRDefault="00536D51" w:rsidP="00536D51">
      <w:pPr>
        <w:ind w:left="864" w:right="864"/>
      </w:pPr>
      <w:r>
        <w:t xml:space="preserve">Authentication and identity management are handled by Keycloak, an open-source identity and access management solution. Keycloak connects to a dedicated MySQL database and is integrated with OAuth2 Proxy to secure access to internal services. This allows </w:t>
      </w:r>
      <w:proofErr w:type="spellStart"/>
      <w:r>
        <w:t>SpendSense</w:t>
      </w:r>
      <w:proofErr w:type="spellEnd"/>
      <w:r>
        <w:t xml:space="preserve"> to enforce access policies and secure APIs while maintaining a single sign-on experience.</w:t>
      </w:r>
    </w:p>
    <w:p w14:paraId="6CA0C4A4" w14:textId="77777777" w:rsidR="00536D51" w:rsidRDefault="00536D51" w:rsidP="00536D51">
      <w:pPr>
        <w:ind w:left="864" w:right="864"/>
      </w:pPr>
    </w:p>
    <w:p w14:paraId="6EA4AC5B" w14:textId="3B805E97" w:rsidR="00536D51" w:rsidRDefault="00536D51" w:rsidP="00536D51">
      <w:pPr>
        <w:ind w:left="864" w:right="864"/>
      </w:pPr>
      <w:r>
        <w:t>The application also includes a GDPR Orchestrator Service, which is responsible for coordinating</w:t>
      </w:r>
      <w:r>
        <w:t xml:space="preserve"> the deletion process across microservices to comply with the user’s right to be forgotten</w:t>
      </w:r>
      <w:r>
        <w:t xml:space="preserve">. </w:t>
      </w:r>
    </w:p>
    <w:p w14:paraId="3E7504BD" w14:textId="77777777" w:rsidR="00536D51" w:rsidRDefault="00536D51" w:rsidP="00536D51">
      <w:pPr>
        <w:ind w:left="864" w:right="864"/>
      </w:pPr>
    </w:p>
    <w:p w14:paraId="06B084E3" w14:textId="0BFAF731" w:rsidR="002B6C96" w:rsidRDefault="00536D51" w:rsidP="00536D51">
      <w:pPr>
        <w:ind w:left="864" w:right="864"/>
      </w:pPr>
      <w:r>
        <w:t>Overall, the system is built with privacy and observability in mind, allowing for performance monitoring, secure communication, and identity management across</w:t>
      </w:r>
      <w:r>
        <w:t xml:space="preserve"> </w:t>
      </w:r>
      <w:r>
        <w:t>services.</w:t>
      </w:r>
    </w:p>
    <w:p w14:paraId="170F2CAB" w14:textId="77777777" w:rsidR="00DB3874" w:rsidRDefault="00DB3874" w:rsidP="00536D51">
      <w:pPr>
        <w:ind w:left="864" w:right="864"/>
      </w:pPr>
    </w:p>
    <w:p w14:paraId="4996BFF6" w14:textId="77777777" w:rsidR="00DB3874" w:rsidRDefault="00DB3874" w:rsidP="00536D51">
      <w:pPr>
        <w:ind w:left="864" w:right="864"/>
      </w:pPr>
    </w:p>
    <w:p w14:paraId="2C6F942F" w14:textId="77777777" w:rsidR="00DB3874" w:rsidRDefault="00DB3874" w:rsidP="00536D51">
      <w:pPr>
        <w:ind w:left="864" w:right="864"/>
      </w:pPr>
    </w:p>
    <w:p w14:paraId="6D170137" w14:textId="50422D6A" w:rsidR="00ED59DC" w:rsidRDefault="00DB3874" w:rsidP="00DB3874">
      <w:pPr>
        <w:pStyle w:val="Heading1"/>
        <w:ind w:left="864"/>
        <w:jc w:val="left"/>
      </w:pPr>
      <w:r>
        <w:t xml:space="preserve">GDPR Compliance Analysis </w:t>
      </w:r>
    </w:p>
    <w:p w14:paraId="7AF00109" w14:textId="61D7B908" w:rsidR="00A55D95" w:rsidRDefault="00A55D95" w:rsidP="00DB3874">
      <w:pPr>
        <w:pStyle w:val="Heading5"/>
        <w:ind w:left="864"/>
      </w:pPr>
      <w:r>
        <w:t>Personal Data Flow Analysis</w:t>
      </w:r>
    </w:p>
    <w:p w14:paraId="25F18F94" w14:textId="77777777" w:rsidR="00A55D95" w:rsidRDefault="00A55D95" w:rsidP="00DB3874">
      <w:pPr>
        <w:ind w:left="864" w:right="864"/>
      </w:pPr>
    </w:p>
    <w:p w14:paraId="778C32DF" w14:textId="3407A786" w:rsidR="00A55D95" w:rsidRDefault="00ED59DC" w:rsidP="00DB3874">
      <w:pPr>
        <w:ind w:left="864" w:right="864"/>
      </w:pPr>
      <w:r>
        <w:t xml:space="preserve">On </w:t>
      </w:r>
      <w:r>
        <w:rPr>
          <w:i/>
          <w:iCs/>
        </w:rPr>
        <w:t xml:space="preserve">Fig. 1 </w:t>
      </w:r>
      <w:r>
        <w:t>you can see</w:t>
      </w:r>
      <w:r w:rsidR="00A55D95" w:rsidRPr="00A55D95">
        <w:t xml:space="preserve"> how each part of the </w:t>
      </w:r>
      <w:proofErr w:type="spellStart"/>
      <w:r w:rsidR="00A55D95" w:rsidRPr="00A55D95">
        <w:t>SpendSense</w:t>
      </w:r>
      <w:proofErr w:type="spellEnd"/>
      <w:r w:rsidR="00A55D95" w:rsidRPr="00A55D95">
        <w:t xml:space="preserve"> system uses personal data, what it's used for, and why it’s allowed under GDPR rules. Keycloak handles login details like names, emails, and passwords so users can sign in securely. The budget-service and expense-service store and manage user budget and spending information. The </w:t>
      </w:r>
      <w:proofErr w:type="spellStart"/>
      <w:r w:rsidR="00A55D95" w:rsidRPr="00A55D95">
        <w:t>gdpr</w:t>
      </w:r>
      <w:proofErr w:type="spellEnd"/>
      <w:r w:rsidR="00A55D95" w:rsidRPr="00A55D95">
        <w:t>-orchestrator helps the system follow GDPR rules by handling user requests to delete their data. OAuth2 Proxy manages login sessions and cookies to keep services secure. RabbitMQ sends messages between services. All personal data is saved in MySQL databases, which are needed for the system to work. Overall, each part has a clear reason for using personal data and follows the legal rules set by GDPR.</w:t>
      </w:r>
    </w:p>
    <w:p w14:paraId="2C049940" w14:textId="36F2A116" w:rsidR="00ED59DC" w:rsidRDefault="00ED59DC" w:rsidP="00DB3874">
      <w:pPr>
        <w:ind w:left="864"/>
      </w:pPr>
      <w:r>
        <w:br w:type="page"/>
      </w:r>
    </w:p>
    <w:p w14:paraId="151AA1A3" w14:textId="77777777" w:rsidR="00A55D95" w:rsidRDefault="00A55D95" w:rsidP="00DB3874">
      <w:pPr>
        <w:ind w:left="864" w:right="864"/>
      </w:pPr>
    </w:p>
    <w:tbl>
      <w:tblPr>
        <w:tblStyle w:val="GridTable5Dark-Accent3"/>
        <w:tblW w:w="9192" w:type="dxa"/>
        <w:jc w:val="center"/>
        <w:tblLook w:val="04A0" w:firstRow="1" w:lastRow="0" w:firstColumn="1" w:lastColumn="0" w:noHBand="0" w:noVBand="1"/>
      </w:tblPr>
      <w:tblGrid>
        <w:gridCol w:w="1743"/>
        <w:gridCol w:w="2759"/>
        <w:gridCol w:w="2639"/>
        <w:gridCol w:w="2051"/>
      </w:tblGrid>
      <w:tr w:rsidR="00A55D95" w:rsidRPr="00A55D95" w14:paraId="093A301D" w14:textId="77777777" w:rsidTr="00A55D95">
        <w:trPr>
          <w:cnfStyle w:val="100000000000" w:firstRow="1" w:lastRow="0" w:firstColumn="0" w:lastColumn="0" w:oddVBand="0" w:evenVBand="0" w:oddHBand="0" w:evenHBand="0" w:firstRowFirstColumn="0" w:firstRowLastColumn="0" w:lastRowFirstColumn="0" w:lastRowLastColumn="0"/>
          <w:trHeight w:val="967"/>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177A49" w14:textId="77777777" w:rsidR="00A55D95" w:rsidRPr="00A55D95" w:rsidRDefault="00A55D95" w:rsidP="00DB3874">
            <w:pPr>
              <w:rPr>
                <w:rFonts w:ascii="Times New Roman" w:eastAsia="Times New Roman" w:hAnsi="Times New Roman" w:cs="Times New Roman"/>
              </w:rPr>
            </w:pPr>
            <w:r w:rsidRPr="00A55D95">
              <w:rPr>
                <w:rFonts w:ascii="Times New Roman" w:eastAsia="Times New Roman" w:hAnsi="Times New Roman" w:cs="Times New Roman"/>
              </w:rPr>
              <w:t>Component</w:t>
            </w:r>
          </w:p>
        </w:tc>
        <w:tc>
          <w:tcPr>
            <w:tcW w:w="0" w:type="auto"/>
            <w:vAlign w:val="center"/>
            <w:hideMark/>
          </w:tcPr>
          <w:p w14:paraId="36BAE690" w14:textId="77777777" w:rsidR="00A55D95" w:rsidRPr="00A55D95" w:rsidRDefault="00A55D95" w:rsidP="00DB38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55D95">
              <w:rPr>
                <w:rFonts w:ascii="Times New Roman" w:eastAsia="Times New Roman" w:hAnsi="Times New Roman" w:cs="Times New Roman"/>
              </w:rPr>
              <w:t>Data Involved</w:t>
            </w:r>
          </w:p>
        </w:tc>
        <w:tc>
          <w:tcPr>
            <w:tcW w:w="0" w:type="auto"/>
            <w:vAlign w:val="center"/>
            <w:hideMark/>
          </w:tcPr>
          <w:p w14:paraId="3B2BE3F4" w14:textId="77777777" w:rsidR="00A55D95" w:rsidRPr="00A55D95" w:rsidRDefault="00A55D95" w:rsidP="00DB38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55D95">
              <w:rPr>
                <w:rFonts w:ascii="Times New Roman" w:eastAsia="Times New Roman" w:hAnsi="Times New Roman" w:cs="Times New Roman"/>
              </w:rPr>
              <w:t>Purpose</w:t>
            </w:r>
          </w:p>
        </w:tc>
        <w:tc>
          <w:tcPr>
            <w:tcW w:w="0" w:type="auto"/>
            <w:vAlign w:val="center"/>
            <w:hideMark/>
          </w:tcPr>
          <w:p w14:paraId="1DD4D69E" w14:textId="77777777" w:rsidR="00A55D95" w:rsidRPr="00A55D95" w:rsidRDefault="00A55D95" w:rsidP="00DB38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55D95">
              <w:rPr>
                <w:rFonts w:ascii="Times New Roman" w:eastAsia="Times New Roman" w:hAnsi="Times New Roman" w:cs="Times New Roman"/>
              </w:rPr>
              <w:t>GDPR Legal Basis</w:t>
            </w:r>
          </w:p>
        </w:tc>
      </w:tr>
      <w:tr w:rsidR="00A55D95" w:rsidRPr="00A55D95" w14:paraId="7EFCE699" w14:textId="77777777" w:rsidTr="00A55D95">
        <w:trPr>
          <w:cnfStyle w:val="000000100000" w:firstRow="0" w:lastRow="0" w:firstColumn="0" w:lastColumn="0" w:oddVBand="0" w:evenVBand="0" w:oddHBand="1" w:evenHBand="0" w:firstRowFirstColumn="0" w:firstRowLastColumn="0" w:lastRowFirstColumn="0" w:lastRowLastColumn="0"/>
          <w:trHeight w:val="846"/>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546B4E" w14:textId="77777777" w:rsidR="00A55D95" w:rsidRPr="00A55D95" w:rsidRDefault="00A55D95" w:rsidP="00DB3874">
            <w:pPr>
              <w:rPr>
                <w:rFonts w:ascii="Times New Roman" w:eastAsia="Times New Roman" w:hAnsi="Times New Roman" w:cs="Times New Roman"/>
              </w:rPr>
            </w:pPr>
            <w:r w:rsidRPr="00A55D95">
              <w:rPr>
                <w:rFonts w:ascii="Times New Roman" w:eastAsia="Times New Roman" w:hAnsi="Times New Roman" w:cs="Times New Roman"/>
              </w:rPr>
              <w:t>Keycloak</w:t>
            </w:r>
          </w:p>
        </w:tc>
        <w:tc>
          <w:tcPr>
            <w:tcW w:w="0" w:type="auto"/>
            <w:vAlign w:val="center"/>
            <w:hideMark/>
          </w:tcPr>
          <w:p w14:paraId="79A54D99" w14:textId="77777777" w:rsidR="00A55D95" w:rsidRPr="00A55D95" w:rsidRDefault="00A55D95" w:rsidP="00DB38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55D95">
              <w:rPr>
                <w:rFonts w:ascii="Times New Roman" w:eastAsia="Times New Roman" w:hAnsi="Times New Roman" w:cs="Times New Roman"/>
              </w:rPr>
              <w:t>Name, Email, Credentials, Roles</w:t>
            </w:r>
          </w:p>
        </w:tc>
        <w:tc>
          <w:tcPr>
            <w:tcW w:w="0" w:type="auto"/>
            <w:vAlign w:val="center"/>
            <w:hideMark/>
          </w:tcPr>
          <w:p w14:paraId="559EE49C" w14:textId="77777777" w:rsidR="00A55D95" w:rsidRPr="00A55D95" w:rsidRDefault="00A55D95" w:rsidP="00DB38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55D95">
              <w:rPr>
                <w:rFonts w:ascii="Times New Roman" w:eastAsia="Times New Roman" w:hAnsi="Times New Roman" w:cs="Times New Roman"/>
              </w:rPr>
              <w:t>User Authentication and Authorization</w:t>
            </w:r>
          </w:p>
        </w:tc>
        <w:tc>
          <w:tcPr>
            <w:tcW w:w="0" w:type="auto"/>
            <w:vAlign w:val="center"/>
            <w:hideMark/>
          </w:tcPr>
          <w:p w14:paraId="4BB52297" w14:textId="77777777" w:rsidR="00A55D95" w:rsidRPr="00A55D95" w:rsidRDefault="00A55D95" w:rsidP="00DB38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55D95">
              <w:rPr>
                <w:rFonts w:ascii="Times New Roman" w:eastAsia="Times New Roman" w:hAnsi="Times New Roman" w:cs="Times New Roman"/>
              </w:rPr>
              <w:t>Consent / Contractual</w:t>
            </w:r>
          </w:p>
        </w:tc>
      </w:tr>
      <w:tr w:rsidR="00A55D95" w:rsidRPr="00A55D95" w14:paraId="77605CA2" w14:textId="77777777" w:rsidTr="00A55D95">
        <w:trPr>
          <w:trHeight w:val="826"/>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727836D" w14:textId="77777777" w:rsidR="00A55D95" w:rsidRPr="00A55D95" w:rsidRDefault="00A55D95" w:rsidP="00DB3874">
            <w:pPr>
              <w:rPr>
                <w:rFonts w:ascii="Times New Roman" w:eastAsia="Times New Roman" w:hAnsi="Times New Roman" w:cs="Times New Roman"/>
              </w:rPr>
            </w:pPr>
            <w:r w:rsidRPr="00A55D95">
              <w:rPr>
                <w:rFonts w:ascii="Times New Roman" w:eastAsia="Times New Roman" w:hAnsi="Times New Roman" w:cs="Times New Roman"/>
              </w:rPr>
              <w:t>budget-service</w:t>
            </w:r>
          </w:p>
        </w:tc>
        <w:tc>
          <w:tcPr>
            <w:tcW w:w="0" w:type="auto"/>
            <w:vAlign w:val="center"/>
            <w:hideMark/>
          </w:tcPr>
          <w:p w14:paraId="51E9D293" w14:textId="77777777" w:rsidR="00A55D95" w:rsidRPr="00A55D95" w:rsidRDefault="00A55D95" w:rsidP="00DB38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55D95">
              <w:rPr>
                <w:rFonts w:ascii="Times New Roman" w:eastAsia="Times New Roman" w:hAnsi="Times New Roman" w:cs="Times New Roman"/>
              </w:rPr>
              <w:t>Budget records (linked to users)</w:t>
            </w:r>
          </w:p>
        </w:tc>
        <w:tc>
          <w:tcPr>
            <w:tcW w:w="0" w:type="auto"/>
            <w:vAlign w:val="center"/>
            <w:hideMark/>
          </w:tcPr>
          <w:p w14:paraId="12403369" w14:textId="77777777" w:rsidR="00A55D95" w:rsidRPr="00A55D95" w:rsidRDefault="00A55D95" w:rsidP="00DB38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55D95">
              <w:rPr>
                <w:rFonts w:ascii="Times New Roman" w:eastAsia="Times New Roman" w:hAnsi="Times New Roman" w:cs="Times New Roman"/>
              </w:rPr>
              <w:t>Budget management</w:t>
            </w:r>
          </w:p>
        </w:tc>
        <w:tc>
          <w:tcPr>
            <w:tcW w:w="0" w:type="auto"/>
            <w:vAlign w:val="center"/>
            <w:hideMark/>
          </w:tcPr>
          <w:p w14:paraId="44010D19" w14:textId="77777777" w:rsidR="00A55D95" w:rsidRPr="00A55D95" w:rsidRDefault="00A55D95" w:rsidP="00DB38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55D95">
              <w:rPr>
                <w:rFonts w:ascii="Times New Roman" w:eastAsia="Times New Roman" w:hAnsi="Times New Roman" w:cs="Times New Roman"/>
              </w:rPr>
              <w:t>Legitimate interest / Consent</w:t>
            </w:r>
          </w:p>
        </w:tc>
      </w:tr>
      <w:tr w:rsidR="00A55D95" w:rsidRPr="00A55D95" w14:paraId="2C84D7C7" w14:textId="77777777" w:rsidTr="00A55D95">
        <w:trPr>
          <w:cnfStyle w:val="000000100000" w:firstRow="0" w:lastRow="0" w:firstColumn="0" w:lastColumn="0" w:oddVBand="0" w:evenVBand="0" w:oddHBand="1" w:evenHBand="0" w:firstRowFirstColumn="0" w:firstRowLastColumn="0" w:lastRowFirstColumn="0" w:lastRowLastColumn="0"/>
          <w:trHeight w:val="826"/>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6CEA9EA" w14:textId="77777777" w:rsidR="00A55D95" w:rsidRPr="00A55D95" w:rsidRDefault="00A55D95" w:rsidP="00DB3874">
            <w:pPr>
              <w:rPr>
                <w:rFonts w:ascii="Times New Roman" w:eastAsia="Times New Roman" w:hAnsi="Times New Roman" w:cs="Times New Roman"/>
              </w:rPr>
            </w:pPr>
            <w:r w:rsidRPr="00A55D95">
              <w:rPr>
                <w:rFonts w:ascii="Times New Roman" w:eastAsia="Times New Roman" w:hAnsi="Times New Roman" w:cs="Times New Roman"/>
              </w:rPr>
              <w:t>expense-service</w:t>
            </w:r>
          </w:p>
        </w:tc>
        <w:tc>
          <w:tcPr>
            <w:tcW w:w="0" w:type="auto"/>
            <w:vAlign w:val="center"/>
            <w:hideMark/>
          </w:tcPr>
          <w:p w14:paraId="0159419D" w14:textId="77777777" w:rsidR="00A55D95" w:rsidRPr="00A55D95" w:rsidRDefault="00A55D95" w:rsidP="00DB38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55D95">
              <w:rPr>
                <w:rFonts w:ascii="Times New Roman" w:eastAsia="Times New Roman" w:hAnsi="Times New Roman" w:cs="Times New Roman"/>
              </w:rPr>
              <w:t>Expense records (linked to users)</w:t>
            </w:r>
          </w:p>
        </w:tc>
        <w:tc>
          <w:tcPr>
            <w:tcW w:w="0" w:type="auto"/>
            <w:vAlign w:val="center"/>
            <w:hideMark/>
          </w:tcPr>
          <w:p w14:paraId="5836E213" w14:textId="77777777" w:rsidR="00A55D95" w:rsidRPr="00A55D95" w:rsidRDefault="00A55D95" w:rsidP="00DB38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55D95">
              <w:rPr>
                <w:rFonts w:ascii="Times New Roman" w:eastAsia="Times New Roman" w:hAnsi="Times New Roman" w:cs="Times New Roman"/>
              </w:rPr>
              <w:t>Expense management</w:t>
            </w:r>
          </w:p>
        </w:tc>
        <w:tc>
          <w:tcPr>
            <w:tcW w:w="0" w:type="auto"/>
            <w:vAlign w:val="center"/>
            <w:hideMark/>
          </w:tcPr>
          <w:p w14:paraId="4C8BDC07" w14:textId="77777777" w:rsidR="00A55D95" w:rsidRPr="00A55D95" w:rsidRDefault="00A55D95" w:rsidP="00DB38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55D95">
              <w:rPr>
                <w:rFonts w:ascii="Times New Roman" w:eastAsia="Times New Roman" w:hAnsi="Times New Roman" w:cs="Times New Roman"/>
              </w:rPr>
              <w:t>Legitimate interest / Consent</w:t>
            </w:r>
          </w:p>
        </w:tc>
      </w:tr>
      <w:tr w:rsidR="00A55D95" w:rsidRPr="00A55D95" w14:paraId="4A77ECE3" w14:textId="77777777" w:rsidTr="00A55D95">
        <w:trPr>
          <w:trHeight w:val="826"/>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F56C1F5" w14:textId="77777777" w:rsidR="00A55D95" w:rsidRPr="00A55D95" w:rsidRDefault="00A55D95" w:rsidP="00DB3874">
            <w:pPr>
              <w:rPr>
                <w:rFonts w:ascii="Times New Roman" w:eastAsia="Times New Roman" w:hAnsi="Times New Roman" w:cs="Times New Roman"/>
              </w:rPr>
            </w:pPr>
            <w:proofErr w:type="spellStart"/>
            <w:r w:rsidRPr="00A55D95">
              <w:rPr>
                <w:rFonts w:ascii="Times New Roman" w:eastAsia="Times New Roman" w:hAnsi="Times New Roman" w:cs="Times New Roman"/>
              </w:rPr>
              <w:t>gdpr</w:t>
            </w:r>
            <w:proofErr w:type="spellEnd"/>
            <w:r w:rsidRPr="00A55D95">
              <w:rPr>
                <w:rFonts w:ascii="Times New Roman" w:eastAsia="Times New Roman" w:hAnsi="Times New Roman" w:cs="Times New Roman"/>
              </w:rPr>
              <w:t>-orchestrator</w:t>
            </w:r>
          </w:p>
        </w:tc>
        <w:tc>
          <w:tcPr>
            <w:tcW w:w="0" w:type="auto"/>
            <w:vAlign w:val="center"/>
            <w:hideMark/>
          </w:tcPr>
          <w:p w14:paraId="3E5BDDF3" w14:textId="77777777" w:rsidR="00A55D95" w:rsidRPr="00A55D95" w:rsidRDefault="00A55D95" w:rsidP="00DB38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55D95">
              <w:rPr>
                <w:rFonts w:ascii="Times New Roman" w:eastAsia="Times New Roman" w:hAnsi="Times New Roman" w:cs="Times New Roman"/>
              </w:rPr>
              <w:t>User data discovery, access, deletion requests</w:t>
            </w:r>
          </w:p>
        </w:tc>
        <w:tc>
          <w:tcPr>
            <w:tcW w:w="0" w:type="auto"/>
            <w:vAlign w:val="center"/>
            <w:hideMark/>
          </w:tcPr>
          <w:p w14:paraId="655E7630" w14:textId="77777777" w:rsidR="00A55D95" w:rsidRPr="00A55D95" w:rsidRDefault="00A55D95" w:rsidP="00DB38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55D95">
              <w:rPr>
                <w:rFonts w:ascii="Times New Roman" w:eastAsia="Times New Roman" w:hAnsi="Times New Roman" w:cs="Times New Roman"/>
              </w:rPr>
              <w:t>GDPR compliance orchestration</w:t>
            </w:r>
          </w:p>
        </w:tc>
        <w:tc>
          <w:tcPr>
            <w:tcW w:w="0" w:type="auto"/>
            <w:vAlign w:val="center"/>
            <w:hideMark/>
          </w:tcPr>
          <w:p w14:paraId="73E8F124" w14:textId="77777777" w:rsidR="00A55D95" w:rsidRPr="00A55D95" w:rsidRDefault="00A55D95" w:rsidP="00DB38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55D95">
              <w:rPr>
                <w:rFonts w:ascii="Times New Roman" w:eastAsia="Times New Roman" w:hAnsi="Times New Roman" w:cs="Times New Roman"/>
              </w:rPr>
              <w:t>Legal obligation</w:t>
            </w:r>
          </w:p>
        </w:tc>
      </w:tr>
      <w:tr w:rsidR="00A55D95" w:rsidRPr="00A55D95" w14:paraId="5FAEFB8C" w14:textId="77777777" w:rsidTr="00A55D95">
        <w:trPr>
          <w:cnfStyle w:val="000000100000" w:firstRow="0" w:lastRow="0" w:firstColumn="0" w:lastColumn="0" w:oddVBand="0" w:evenVBand="0" w:oddHBand="1" w:evenHBand="0" w:firstRowFirstColumn="0" w:firstRowLastColumn="0" w:lastRowFirstColumn="0" w:lastRowLastColumn="0"/>
          <w:trHeight w:val="826"/>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5C78F36" w14:textId="77777777" w:rsidR="00A55D95" w:rsidRPr="00A55D95" w:rsidRDefault="00A55D95" w:rsidP="00DB3874">
            <w:pPr>
              <w:rPr>
                <w:rFonts w:ascii="Times New Roman" w:eastAsia="Times New Roman" w:hAnsi="Times New Roman" w:cs="Times New Roman"/>
              </w:rPr>
            </w:pPr>
            <w:r w:rsidRPr="00A55D95">
              <w:rPr>
                <w:rFonts w:ascii="Times New Roman" w:eastAsia="Times New Roman" w:hAnsi="Times New Roman" w:cs="Times New Roman"/>
              </w:rPr>
              <w:t>oauth2-proxy</w:t>
            </w:r>
          </w:p>
        </w:tc>
        <w:tc>
          <w:tcPr>
            <w:tcW w:w="0" w:type="auto"/>
            <w:vAlign w:val="center"/>
            <w:hideMark/>
          </w:tcPr>
          <w:p w14:paraId="03CE0727" w14:textId="77777777" w:rsidR="00A55D95" w:rsidRPr="00A55D95" w:rsidRDefault="00A55D95" w:rsidP="00DB38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55D95">
              <w:rPr>
                <w:rFonts w:ascii="Times New Roman" w:eastAsia="Times New Roman" w:hAnsi="Times New Roman" w:cs="Times New Roman"/>
              </w:rPr>
              <w:t>Session tokens, cookies</w:t>
            </w:r>
          </w:p>
        </w:tc>
        <w:tc>
          <w:tcPr>
            <w:tcW w:w="0" w:type="auto"/>
            <w:vAlign w:val="center"/>
            <w:hideMark/>
          </w:tcPr>
          <w:p w14:paraId="11F51273" w14:textId="77777777" w:rsidR="00A55D95" w:rsidRPr="00A55D95" w:rsidRDefault="00A55D95" w:rsidP="00DB38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55D95">
              <w:rPr>
                <w:rFonts w:ascii="Times New Roman" w:eastAsia="Times New Roman" w:hAnsi="Times New Roman" w:cs="Times New Roman"/>
              </w:rPr>
              <w:t>Secure access to protected services</w:t>
            </w:r>
          </w:p>
        </w:tc>
        <w:tc>
          <w:tcPr>
            <w:tcW w:w="0" w:type="auto"/>
            <w:vAlign w:val="center"/>
            <w:hideMark/>
          </w:tcPr>
          <w:p w14:paraId="01D190DC" w14:textId="77777777" w:rsidR="00A55D95" w:rsidRPr="00A55D95" w:rsidRDefault="00A55D95" w:rsidP="00DB38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55D95">
              <w:rPr>
                <w:rFonts w:ascii="Times New Roman" w:eastAsia="Times New Roman" w:hAnsi="Times New Roman" w:cs="Times New Roman"/>
              </w:rPr>
              <w:t>Legitimate interest</w:t>
            </w:r>
          </w:p>
        </w:tc>
      </w:tr>
      <w:tr w:rsidR="00A55D95" w:rsidRPr="00A55D95" w14:paraId="3D9E4E7F" w14:textId="77777777" w:rsidTr="00A55D95">
        <w:trPr>
          <w:trHeight w:val="826"/>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F50978" w14:textId="77777777" w:rsidR="00A55D95" w:rsidRPr="00A55D95" w:rsidRDefault="00A55D95" w:rsidP="00DB3874">
            <w:pPr>
              <w:rPr>
                <w:rFonts w:ascii="Times New Roman" w:eastAsia="Times New Roman" w:hAnsi="Times New Roman" w:cs="Times New Roman"/>
              </w:rPr>
            </w:pPr>
            <w:r w:rsidRPr="00A55D95">
              <w:rPr>
                <w:rFonts w:ascii="Times New Roman" w:eastAsia="Times New Roman" w:hAnsi="Times New Roman" w:cs="Times New Roman"/>
              </w:rPr>
              <w:t>RabbitMQ</w:t>
            </w:r>
          </w:p>
        </w:tc>
        <w:tc>
          <w:tcPr>
            <w:tcW w:w="0" w:type="auto"/>
            <w:vAlign w:val="center"/>
            <w:hideMark/>
          </w:tcPr>
          <w:p w14:paraId="117928BF" w14:textId="77777777" w:rsidR="00A55D95" w:rsidRPr="00A55D95" w:rsidRDefault="00A55D95" w:rsidP="00DB38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55D95">
              <w:rPr>
                <w:rFonts w:ascii="Times New Roman" w:eastAsia="Times New Roman" w:hAnsi="Times New Roman" w:cs="Times New Roman"/>
              </w:rPr>
              <w:t>Event messages (may include user IDs)</w:t>
            </w:r>
          </w:p>
        </w:tc>
        <w:tc>
          <w:tcPr>
            <w:tcW w:w="0" w:type="auto"/>
            <w:vAlign w:val="center"/>
            <w:hideMark/>
          </w:tcPr>
          <w:p w14:paraId="701CED4B" w14:textId="77777777" w:rsidR="00A55D95" w:rsidRPr="00A55D95" w:rsidRDefault="00A55D95" w:rsidP="00DB38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55D95">
              <w:rPr>
                <w:rFonts w:ascii="Times New Roman" w:eastAsia="Times New Roman" w:hAnsi="Times New Roman" w:cs="Times New Roman"/>
              </w:rPr>
              <w:t>Event-driven architecture</w:t>
            </w:r>
          </w:p>
        </w:tc>
        <w:tc>
          <w:tcPr>
            <w:tcW w:w="0" w:type="auto"/>
            <w:vAlign w:val="center"/>
            <w:hideMark/>
          </w:tcPr>
          <w:p w14:paraId="20C84225" w14:textId="77777777" w:rsidR="00A55D95" w:rsidRPr="00A55D95" w:rsidRDefault="00A55D95" w:rsidP="00DB38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55D95">
              <w:rPr>
                <w:rFonts w:ascii="Times New Roman" w:eastAsia="Times New Roman" w:hAnsi="Times New Roman" w:cs="Times New Roman"/>
              </w:rPr>
              <w:t>Legitimate interest</w:t>
            </w:r>
          </w:p>
        </w:tc>
      </w:tr>
      <w:tr w:rsidR="00DB3874" w:rsidRPr="00A55D95" w14:paraId="56AEE982" w14:textId="77777777" w:rsidTr="00A55D95">
        <w:trPr>
          <w:cnfStyle w:val="000000100000" w:firstRow="0" w:lastRow="0" w:firstColumn="0" w:lastColumn="0" w:oddVBand="0" w:evenVBand="0" w:oddHBand="1" w:evenHBand="0" w:firstRowFirstColumn="0" w:firstRowLastColumn="0" w:lastRowFirstColumn="0" w:lastRowLastColumn="0"/>
          <w:trHeight w:val="826"/>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363BCB" w14:textId="77777777" w:rsidR="00A55D95" w:rsidRPr="00A55D95" w:rsidRDefault="00A55D95" w:rsidP="00DB3874">
            <w:pPr>
              <w:rPr>
                <w:rFonts w:ascii="Times New Roman" w:eastAsia="Times New Roman" w:hAnsi="Times New Roman" w:cs="Times New Roman"/>
              </w:rPr>
            </w:pPr>
            <w:r w:rsidRPr="00A55D95">
              <w:rPr>
                <w:rFonts w:ascii="Times New Roman" w:eastAsia="Times New Roman" w:hAnsi="Times New Roman" w:cs="Times New Roman"/>
              </w:rPr>
              <w:t>MySQL Instances</w:t>
            </w:r>
          </w:p>
        </w:tc>
        <w:tc>
          <w:tcPr>
            <w:tcW w:w="0" w:type="auto"/>
            <w:vAlign w:val="center"/>
            <w:hideMark/>
          </w:tcPr>
          <w:p w14:paraId="24A0DCE6" w14:textId="77777777" w:rsidR="00A55D95" w:rsidRPr="00A55D95" w:rsidRDefault="00A55D95" w:rsidP="00DB38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55D95">
              <w:rPr>
                <w:rFonts w:ascii="Times New Roman" w:eastAsia="Times New Roman" w:hAnsi="Times New Roman" w:cs="Times New Roman"/>
              </w:rPr>
              <w:t>Persistent storage of personal data</w:t>
            </w:r>
          </w:p>
        </w:tc>
        <w:tc>
          <w:tcPr>
            <w:tcW w:w="0" w:type="auto"/>
            <w:vAlign w:val="center"/>
            <w:hideMark/>
          </w:tcPr>
          <w:p w14:paraId="4A472AA9" w14:textId="77777777" w:rsidR="00A55D95" w:rsidRPr="00A55D95" w:rsidRDefault="00A55D95" w:rsidP="00DB38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55D95">
              <w:rPr>
                <w:rFonts w:ascii="Times New Roman" w:eastAsia="Times New Roman" w:hAnsi="Times New Roman" w:cs="Times New Roman"/>
              </w:rPr>
              <w:t>Data storage for individual services</w:t>
            </w:r>
          </w:p>
        </w:tc>
        <w:tc>
          <w:tcPr>
            <w:tcW w:w="0" w:type="auto"/>
            <w:vAlign w:val="center"/>
            <w:hideMark/>
          </w:tcPr>
          <w:p w14:paraId="273C7DB2" w14:textId="77777777" w:rsidR="00A55D95" w:rsidRPr="00A55D95" w:rsidRDefault="00A55D95" w:rsidP="00DB38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55D95">
              <w:rPr>
                <w:rFonts w:ascii="Times New Roman" w:eastAsia="Times New Roman" w:hAnsi="Times New Roman" w:cs="Times New Roman"/>
              </w:rPr>
              <w:t>Contractual necessity</w:t>
            </w:r>
          </w:p>
        </w:tc>
      </w:tr>
    </w:tbl>
    <w:p w14:paraId="6215B775" w14:textId="7319292C" w:rsidR="00A55D95" w:rsidRPr="00ED59DC" w:rsidRDefault="00ED59DC" w:rsidP="00DB3874">
      <w:pPr>
        <w:ind w:left="864" w:right="864"/>
        <w:rPr>
          <w:i/>
          <w:iCs/>
        </w:rPr>
      </w:pPr>
      <w:r>
        <w:rPr>
          <w:i/>
          <w:iCs/>
        </w:rPr>
        <w:t>Fig. 1: Table with personal data flow analysis</w:t>
      </w:r>
    </w:p>
    <w:p w14:paraId="710EE820" w14:textId="77777777" w:rsidR="00ED59DC" w:rsidRDefault="00ED59DC" w:rsidP="00DB3874">
      <w:pPr>
        <w:ind w:left="864" w:right="864"/>
      </w:pPr>
    </w:p>
    <w:p w14:paraId="5F5E937F" w14:textId="77777777" w:rsidR="00ED59DC" w:rsidRDefault="00ED59DC" w:rsidP="00DB3874">
      <w:pPr>
        <w:ind w:left="864" w:right="864"/>
      </w:pPr>
    </w:p>
    <w:p w14:paraId="639BD1C4" w14:textId="63197DAE" w:rsidR="00ED59DC" w:rsidRDefault="00ED59DC" w:rsidP="00DB3874">
      <w:pPr>
        <w:ind w:left="864" w:right="864"/>
      </w:pPr>
      <w:r>
        <w:t>Terms explained</w:t>
      </w:r>
    </w:p>
    <w:p w14:paraId="2417321A" w14:textId="77777777" w:rsidR="00ED59DC" w:rsidRDefault="00ED59DC" w:rsidP="00DB3874">
      <w:pPr>
        <w:ind w:left="864" w:right="864"/>
      </w:pPr>
    </w:p>
    <w:p w14:paraId="2D828B67" w14:textId="16B559CA" w:rsidR="00ED59DC" w:rsidRDefault="00ED59DC" w:rsidP="00DB3874">
      <w:pPr>
        <w:ind w:left="864" w:right="864"/>
      </w:pPr>
      <w:r>
        <w:t>Consent</w:t>
      </w:r>
      <w:r>
        <w:t xml:space="preserve"> - </w:t>
      </w:r>
      <w:r>
        <w:t>the user has clearly said "yes" to let you use their data for a specific purpose</w:t>
      </w:r>
    </w:p>
    <w:p w14:paraId="677146C8" w14:textId="77777777" w:rsidR="00ED59DC" w:rsidRDefault="00ED59DC" w:rsidP="00DB3874">
      <w:pPr>
        <w:ind w:left="864" w:right="864"/>
      </w:pPr>
    </w:p>
    <w:p w14:paraId="6BB6A8EC" w14:textId="58DFF5E5" w:rsidR="00ED59DC" w:rsidRDefault="00ED59DC" w:rsidP="00DB3874">
      <w:pPr>
        <w:ind w:left="864" w:right="864"/>
      </w:pPr>
      <w:r>
        <w:t>Contractual</w:t>
      </w:r>
      <w:r>
        <w:t xml:space="preserve"> - </w:t>
      </w:r>
      <w:r>
        <w:t xml:space="preserve">the data is needed to provide a service the user asked for, like when they create an account or use </w:t>
      </w:r>
      <w:r>
        <w:t>the</w:t>
      </w:r>
      <w:r>
        <w:t xml:space="preserve"> app</w:t>
      </w:r>
    </w:p>
    <w:p w14:paraId="52AF2D0E" w14:textId="77777777" w:rsidR="00ED59DC" w:rsidRDefault="00ED59DC" w:rsidP="00DB3874">
      <w:pPr>
        <w:ind w:left="864" w:right="864"/>
      </w:pPr>
    </w:p>
    <w:p w14:paraId="7CDCF748" w14:textId="22E936BF" w:rsidR="00ED59DC" w:rsidRDefault="00ED59DC" w:rsidP="00DB3874">
      <w:pPr>
        <w:ind w:left="864" w:right="864"/>
      </w:pPr>
      <w:r>
        <w:t>Legitimate Interest</w:t>
      </w:r>
      <w:r>
        <w:t xml:space="preserve"> - </w:t>
      </w:r>
      <w:r>
        <w:t>the system uses the data in a way that’s necessary for the business to function, but it doesn’t harm the user’s rights or privacy</w:t>
      </w:r>
    </w:p>
    <w:p w14:paraId="6D8D6D03" w14:textId="77777777" w:rsidR="00ED59DC" w:rsidRDefault="00ED59DC" w:rsidP="00DB3874">
      <w:pPr>
        <w:ind w:left="864" w:right="864"/>
      </w:pPr>
    </w:p>
    <w:p w14:paraId="2E768C3C" w14:textId="7FB72D84" w:rsidR="00ED59DC" w:rsidRDefault="00ED59DC" w:rsidP="00DB3874">
      <w:pPr>
        <w:ind w:left="864" w:right="864"/>
      </w:pPr>
      <w:r>
        <w:t>Legal Obligation</w:t>
      </w:r>
      <w:r>
        <w:t xml:space="preserve"> - </w:t>
      </w:r>
      <w:r>
        <w:t>required by law to collect or keep the data</w:t>
      </w:r>
    </w:p>
    <w:p w14:paraId="5CC912D1" w14:textId="77777777" w:rsidR="00ED59DC" w:rsidRDefault="00ED59DC" w:rsidP="00DB3874">
      <w:pPr>
        <w:ind w:left="864" w:right="864"/>
      </w:pPr>
    </w:p>
    <w:p w14:paraId="354B7FE9" w14:textId="3F1621CD" w:rsidR="00ED59DC" w:rsidRDefault="00ED59DC" w:rsidP="00DB3874">
      <w:pPr>
        <w:ind w:left="864" w:right="864"/>
      </w:pPr>
      <w:r>
        <w:t>Contractual Necessity</w:t>
      </w:r>
      <w:r>
        <w:t xml:space="preserve"> - </w:t>
      </w:r>
      <w:r>
        <w:t>similar to "Contractual" and</w:t>
      </w:r>
      <w:r>
        <w:t xml:space="preserve">, but </w:t>
      </w:r>
      <w:r>
        <w:t>the data must be processed to fulfill a contract with the user.</w:t>
      </w:r>
    </w:p>
    <w:p w14:paraId="671FE2CA" w14:textId="6DFA501F" w:rsidR="00493181" w:rsidRDefault="00493181" w:rsidP="00DB3874">
      <w:pPr>
        <w:ind w:left="864"/>
      </w:pPr>
      <w:r>
        <w:br w:type="page"/>
      </w:r>
    </w:p>
    <w:p w14:paraId="36E0B251" w14:textId="77777777" w:rsidR="00ED59DC" w:rsidRDefault="00ED59DC" w:rsidP="00DB3874">
      <w:pPr>
        <w:ind w:left="864" w:right="864"/>
      </w:pPr>
    </w:p>
    <w:p w14:paraId="717A62C4" w14:textId="77777777" w:rsidR="00493181" w:rsidRDefault="00493181" w:rsidP="00DB3874">
      <w:pPr>
        <w:ind w:left="864" w:right="864"/>
      </w:pPr>
    </w:p>
    <w:p w14:paraId="2902B9B4" w14:textId="5A4446CE" w:rsidR="00A83154" w:rsidRDefault="00493181" w:rsidP="00DB3874">
      <w:pPr>
        <w:pStyle w:val="Heading5"/>
        <w:ind w:left="864"/>
      </w:pPr>
      <w:r>
        <w:t>Data Storage &amp; Encryption</w:t>
      </w:r>
    </w:p>
    <w:p w14:paraId="2AE42966" w14:textId="77777777" w:rsidR="00DB3874" w:rsidRPr="00DB3874" w:rsidRDefault="00DB3874" w:rsidP="00DB3874"/>
    <w:p w14:paraId="561450A1" w14:textId="26F20396" w:rsidR="00493181" w:rsidRDefault="00493181" w:rsidP="00DB3874">
      <w:pPr>
        <w:ind w:left="864" w:right="864"/>
      </w:pPr>
      <w:proofErr w:type="spellStart"/>
      <w:r>
        <w:t>SpendSense</w:t>
      </w:r>
      <w:proofErr w:type="spellEnd"/>
      <w:r>
        <w:t xml:space="preserve"> stores personal and financial data in MySQL databases, which are used by the budget, expense, and Keycloak services. All communication between services and users is protected using TLS encryption, which is enabled through </w:t>
      </w:r>
      <w:proofErr w:type="spellStart"/>
      <w:r>
        <w:t>Traefik's</w:t>
      </w:r>
      <w:proofErr w:type="spellEnd"/>
      <w:r>
        <w:t xml:space="preserve"> </w:t>
      </w:r>
      <w:proofErr w:type="spellStart"/>
      <w:r>
        <w:t>websecure</w:t>
      </w:r>
      <w:proofErr w:type="spellEnd"/>
      <w:r>
        <w:t xml:space="preserve"> entry point. HTTPS is secured using </w:t>
      </w:r>
      <w:r w:rsidR="00A83154">
        <w:t>TLS</w:t>
      </w:r>
      <w:r>
        <w:t xml:space="preserve"> certificates (</w:t>
      </w:r>
      <w:proofErr w:type="spellStart"/>
      <w:r>
        <w:t>fullchain.pem</w:t>
      </w:r>
      <w:proofErr w:type="spellEnd"/>
      <w:r>
        <w:t xml:space="preserve"> and </w:t>
      </w:r>
      <w:proofErr w:type="spellStart"/>
      <w:r>
        <w:t>privkey.pem</w:t>
      </w:r>
      <w:proofErr w:type="spellEnd"/>
      <w:r>
        <w:t>), ensuring that data is encrypted while in transit. However, there is no explicit encryption configured for data at rest in the MySQL containers. It is strongly recommended to enable MySQL at-rest encryption, such as Transparent Data Encryption (TDE), to better protect stored data from unauthorized access in case of a breach or physical compromise.</w:t>
      </w:r>
    </w:p>
    <w:p w14:paraId="1C922863" w14:textId="77777777" w:rsidR="00A83154" w:rsidRDefault="00A83154" w:rsidP="00DB3874">
      <w:pPr>
        <w:ind w:left="864" w:right="864"/>
      </w:pPr>
    </w:p>
    <w:p w14:paraId="3A9B1841" w14:textId="77777777" w:rsidR="00A83154" w:rsidRDefault="00A83154" w:rsidP="00DB3874">
      <w:pPr>
        <w:ind w:left="864" w:right="864"/>
      </w:pPr>
    </w:p>
    <w:p w14:paraId="2F2755A5" w14:textId="331C2856" w:rsidR="00A83154" w:rsidRDefault="00A83154" w:rsidP="00DB3874">
      <w:pPr>
        <w:pStyle w:val="Heading5"/>
        <w:ind w:left="864"/>
      </w:pPr>
      <w:r>
        <w:t>Data Access Control</w:t>
      </w:r>
    </w:p>
    <w:p w14:paraId="7C914539" w14:textId="77777777" w:rsidR="00DB3874" w:rsidRPr="00DB3874" w:rsidRDefault="00DB3874" w:rsidP="00DB3874"/>
    <w:p w14:paraId="4F12A78A" w14:textId="7671DDD9" w:rsidR="00A83154" w:rsidRDefault="00A83154" w:rsidP="00DB3874">
      <w:pPr>
        <w:ind w:left="864" w:right="864"/>
      </w:pPr>
      <w:proofErr w:type="spellStart"/>
      <w:r w:rsidRPr="00A83154">
        <w:t>SpendSense</w:t>
      </w:r>
      <w:proofErr w:type="spellEnd"/>
      <w:r w:rsidRPr="00A83154">
        <w:t xml:space="preserve"> controls access to data through secure authentication and simple role-based authorization. User authentication is handled by Keycloak, using the OpenID Connect (OIDC) protocol to verify users during login. Although the system currently uses only a single role for all users, this role helps restrict access to protected services and APIs. Session security is maintained by setting cookies with </w:t>
      </w:r>
      <w:proofErr w:type="spellStart"/>
      <w:r w:rsidRPr="00A83154">
        <w:t>SameSite</w:t>
      </w:r>
      <w:proofErr w:type="spellEnd"/>
      <w:r w:rsidRPr="00A83154">
        <w:t xml:space="preserve"> and Secure attributes, and by scoping them to trusted domains. In addition, OAuth2 Proxy is configured to prevent Cross-Site Request Forgery (CSRF) attacks, helping to ensure that session-based access remains safe and trustworthy.</w:t>
      </w:r>
    </w:p>
    <w:p w14:paraId="526E55D9" w14:textId="77777777" w:rsidR="00A83154" w:rsidRDefault="00A83154" w:rsidP="00DB3874">
      <w:pPr>
        <w:ind w:left="864" w:right="864"/>
      </w:pPr>
    </w:p>
    <w:p w14:paraId="512DC1AE" w14:textId="77777777" w:rsidR="00A83154" w:rsidRDefault="00A83154" w:rsidP="00DB3874">
      <w:pPr>
        <w:ind w:left="864" w:right="864"/>
      </w:pPr>
    </w:p>
    <w:p w14:paraId="41CD71C6" w14:textId="77777777" w:rsidR="00A83154" w:rsidRDefault="00A83154" w:rsidP="00DB3874">
      <w:pPr>
        <w:ind w:left="864" w:right="864"/>
      </w:pPr>
    </w:p>
    <w:p w14:paraId="6DE2D3C8" w14:textId="09A8FDC5" w:rsidR="00A83154" w:rsidRDefault="00A83154" w:rsidP="00DB3874">
      <w:pPr>
        <w:pStyle w:val="Heading5"/>
        <w:ind w:left="864"/>
      </w:pPr>
      <w:r>
        <w:t>Data Retention &amp; Deletion</w:t>
      </w:r>
    </w:p>
    <w:p w14:paraId="22588DFA" w14:textId="77777777" w:rsidR="00DB3874" w:rsidRPr="00DB3874" w:rsidRDefault="00DB3874" w:rsidP="00DB3874"/>
    <w:p w14:paraId="022F9D68" w14:textId="23A0E5B3" w:rsidR="002E42EC" w:rsidRDefault="00A83154" w:rsidP="00DB3874">
      <w:pPr>
        <w:ind w:left="864" w:right="864"/>
      </w:pPr>
      <w:r>
        <w:t xml:space="preserve">Currently, there is no explicit data retention policy defined within the </w:t>
      </w:r>
      <w:proofErr w:type="spellStart"/>
      <w:r>
        <w:t>SpendSense</w:t>
      </w:r>
      <w:proofErr w:type="spellEnd"/>
      <w:r>
        <w:t xml:space="preserve"> stack. The </w:t>
      </w:r>
      <w:proofErr w:type="spellStart"/>
      <w:r>
        <w:t>gdpr</w:t>
      </w:r>
      <w:proofErr w:type="spellEnd"/>
      <w:r>
        <w:t xml:space="preserve">-orchestrator service is responsible for ensuring that when a user requests data deletion, all their personal data stored across the various microservices’ databases is deleted consistently and simultaneously. This orchestration helps maintain compliance by coordinating the removal of data from </w:t>
      </w:r>
      <w:proofErr w:type="spellStart"/>
      <w:r>
        <w:t>budget</w:t>
      </w:r>
      <w:r>
        <w:t>and</w:t>
      </w:r>
      <w:proofErr w:type="spellEnd"/>
      <w:r>
        <w:t xml:space="preserve"> expense services at once. Deletion can be triggered manually or via API calls handled by the service logic. To improve accountability, it is recommended to implement automated logging and auditing of all deletion requests and actions.</w:t>
      </w:r>
    </w:p>
    <w:p w14:paraId="6E98C669" w14:textId="77777777" w:rsidR="002E42EC" w:rsidRDefault="002E42EC" w:rsidP="00DB3874">
      <w:pPr>
        <w:ind w:left="864"/>
      </w:pPr>
      <w:r>
        <w:br w:type="page"/>
      </w:r>
    </w:p>
    <w:p w14:paraId="3EDC471C" w14:textId="77777777" w:rsidR="00A83154" w:rsidRDefault="00A83154" w:rsidP="00DB3874">
      <w:pPr>
        <w:ind w:left="864" w:right="864"/>
      </w:pPr>
    </w:p>
    <w:p w14:paraId="12322E7B" w14:textId="77777777" w:rsidR="002E42EC" w:rsidRDefault="002E42EC" w:rsidP="00DB3874">
      <w:pPr>
        <w:ind w:left="864" w:right="864"/>
      </w:pPr>
    </w:p>
    <w:p w14:paraId="3AC7BA35" w14:textId="77777777" w:rsidR="002E42EC" w:rsidRDefault="002E42EC" w:rsidP="00DB3874">
      <w:pPr>
        <w:ind w:left="864" w:right="864"/>
      </w:pPr>
    </w:p>
    <w:p w14:paraId="06C20113" w14:textId="135D9EFD" w:rsidR="002E42EC" w:rsidRDefault="002E42EC" w:rsidP="00DB3874">
      <w:pPr>
        <w:pStyle w:val="Heading5"/>
        <w:ind w:left="864"/>
      </w:pPr>
      <w:r>
        <w:t>Data Subject Rights</w:t>
      </w:r>
    </w:p>
    <w:p w14:paraId="455D2A4C" w14:textId="77777777" w:rsidR="00DB3874" w:rsidRPr="00DB3874" w:rsidRDefault="00DB3874" w:rsidP="00DB3874"/>
    <w:p w14:paraId="66E94A26" w14:textId="16FB1A11" w:rsidR="002E42EC" w:rsidRDefault="002E42EC" w:rsidP="00DB3874">
      <w:pPr>
        <w:ind w:left="864" w:right="864"/>
      </w:pPr>
      <w:proofErr w:type="spellStart"/>
      <w:r>
        <w:t>SpendSense</w:t>
      </w:r>
      <w:proofErr w:type="spellEnd"/>
      <w:r>
        <w:t xml:space="preserve"> supports several rights that users have over their personal data. Users can access their data through </w:t>
      </w:r>
      <w:r>
        <w:t xml:space="preserve">various </w:t>
      </w:r>
      <w:r>
        <w:t>APIs. They can also correct any mistakes in their data</w:t>
      </w:r>
      <w:r>
        <w:t xml:space="preserve"> </w:t>
      </w:r>
      <w:r>
        <w:t xml:space="preserve">within the application. The right to erase data (also known as the “right to be forgotten”) is fully supported and managed through the dedicated </w:t>
      </w:r>
      <w:proofErr w:type="spellStart"/>
      <w:r>
        <w:t>gdpr</w:t>
      </w:r>
      <w:proofErr w:type="spellEnd"/>
      <w:r>
        <w:t xml:space="preserve">-orchestrator service. However, the system currently does not support exporting data in a portable format, which means users can’t easily download their data. Additionally, </w:t>
      </w:r>
      <w:proofErr w:type="spellStart"/>
      <w:r>
        <w:t>SpendSense</w:t>
      </w:r>
      <w:proofErr w:type="spellEnd"/>
      <w:r>
        <w:t xml:space="preserve"> does not offer restrictions on how data is processed, and users cannot object to certain data processing without extra features or user interface elements being added.</w:t>
      </w:r>
    </w:p>
    <w:p w14:paraId="0925828F" w14:textId="77777777" w:rsidR="002E42EC" w:rsidRDefault="002E42EC" w:rsidP="00DB3874">
      <w:pPr>
        <w:ind w:left="864" w:right="864"/>
      </w:pPr>
    </w:p>
    <w:p w14:paraId="628EB085" w14:textId="77777777" w:rsidR="002E42EC" w:rsidRDefault="002E42EC" w:rsidP="00DB3874">
      <w:pPr>
        <w:ind w:left="864" w:right="864"/>
      </w:pPr>
    </w:p>
    <w:p w14:paraId="62387370" w14:textId="4F949D26" w:rsidR="002E42EC" w:rsidRDefault="002E42EC" w:rsidP="00DB3874">
      <w:pPr>
        <w:pStyle w:val="Heading5"/>
        <w:ind w:left="864"/>
      </w:pPr>
      <w:r>
        <w:t>Third Parties and Transfers</w:t>
      </w:r>
    </w:p>
    <w:p w14:paraId="7F6289AF" w14:textId="77777777" w:rsidR="00DB3874" w:rsidRPr="00DB3874" w:rsidRDefault="00DB3874" w:rsidP="00DB3874"/>
    <w:p w14:paraId="67E51A03" w14:textId="5432FED2" w:rsidR="002E42EC" w:rsidRDefault="002E42EC" w:rsidP="00DB3874">
      <w:pPr>
        <w:ind w:left="864" w:right="864"/>
      </w:pPr>
      <w:proofErr w:type="spellStart"/>
      <w:r w:rsidRPr="002E42EC">
        <w:t>SpendSense</w:t>
      </w:r>
      <w:proofErr w:type="spellEnd"/>
      <w:r w:rsidRPr="002E42EC">
        <w:t xml:space="preserve"> does not explicitly use any external third-party services that handle personal data based on the current configuration. While Keycloak is a third-party product, it is deployed internally within </w:t>
      </w:r>
      <w:r>
        <w:t>my</w:t>
      </w:r>
      <w:r w:rsidRPr="002E42EC">
        <w:t xml:space="preserve"> own environment as a container </w:t>
      </w:r>
      <w:r>
        <w:t>I</w:t>
      </w:r>
      <w:r w:rsidRPr="002E42EC">
        <w:t xml:space="preserve"> control, so it is treated as an internal service rather than an external third party. However, some components like OAuth2 Proxy or monitoring tools might send data outside the application—for example, to external services such as Grafana Cloud—if configured to do so. There are no identified transfers of personal data across international borders in the current setup.</w:t>
      </w:r>
    </w:p>
    <w:p w14:paraId="57D7B7BC" w14:textId="77777777" w:rsidR="002E42EC" w:rsidRDefault="002E42EC" w:rsidP="00DB3874">
      <w:pPr>
        <w:ind w:left="864" w:right="864"/>
      </w:pPr>
    </w:p>
    <w:p w14:paraId="5296560D" w14:textId="77777777" w:rsidR="002E42EC" w:rsidRDefault="002E42EC" w:rsidP="00DB3874">
      <w:pPr>
        <w:ind w:left="864" w:right="864"/>
      </w:pPr>
    </w:p>
    <w:p w14:paraId="763972B3" w14:textId="77777777" w:rsidR="002E42EC" w:rsidRDefault="002E42EC" w:rsidP="00DB3874">
      <w:pPr>
        <w:pStyle w:val="Heading5"/>
        <w:ind w:left="864"/>
      </w:pPr>
      <w:r>
        <w:t>Logging and Monitoring</w:t>
      </w:r>
    </w:p>
    <w:p w14:paraId="61683C83" w14:textId="77777777" w:rsidR="00DB3874" w:rsidRPr="00DB3874" w:rsidRDefault="00DB3874" w:rsidP="00DB3874"/>
    <w:p w14:paraId="544B401D" w14:textId="14F23E6E" w:rsidR="002E42EC" w:rsidRDefault="002E42EC" w:rsidP="00DB3874">
      <w:pPr>
        <w:ind w:left="864" w:right="864"/>
      </w:pPr>
      <w:proofErr w:type="spellStart"/>
      <w:r>
        <w:t>SpendSense</w:t>
      </w:r>
      <w:proofErr w:type="spellEnd"/>
      <w:r>
        <w:t xml:space="preserve"> collects logs and monitoring data to track system performance and troubleshoot issues. Keycloak writes logs both to the console and to files, while </w:t>
      </w:r>
      <w:proofErr w:type="spellStart"/>
      <w:r>
        <w:t>Traefik</w:t>
      </w:r>
      <w:proofErr w:type="spellEnd"/>
      <w:r>
        <w:t xml:space="preserve"> runs with debug-level logging to capture detailed information. For monitoring, Prometheus collects metrics from services, and Grafana provides dashboards to visualize these metrics. To protect user privacy, it is recommended to ensure that any personal data is masked or excluded from logs and monitoring metrics. This helps prevent accidental exposure of sensitive information during troubleshooting or analysis.</w:t>
      </w:r>
    </w:p>
    <w:p w14:paraId="7BB9B76E" w14:textId="44D60EB8" w:rsidR="002E42EC" w:rsidRDefault="002E42EC" w:rsidP="00DB3874">
      <w:pPr>
        <w:ind w:left="864" w:right="864"/>
      </w:pPr>
    </w:p>
    <w:p w14:paraId="62FF792A" w14:textId="77777777" w:rsidR="002E42EC" w:rsidRDefault="002E42EC" w:rsidP="00DB3874">
      <w:pPr>
        <w:ind w:left="864"/>
      </w:pPr>
      <w:r>
        <w:br w:type="page"/>
      </w:r>
    </w:p>
    <w:p w14:paraId="2403E788" w14:textId="77777777" w:rsidR="002E42EC" w:rsidRDefault="002E42EC" w:rsidP="002E42EC">
      <w:pPr>
        <w:ind w:left="864" w:right="864"/>
      </w:pPr>
    </w:p>
    <w:p w14:paraId="6A8FD329" w14:textId="77777777" w:rsidR="002E42EC" w:rsidRDefault="002E42EC" w:rsidP="002E42EC">
      <w:pPr>
        <w:ind w:left="864" w:right="864"/>
      </w:pPr>
    </w:p>
    <w:p w14:paraId="0C1D5074" w14:textId="77777777" w:rsidR="002E42EC" w:rsidRDefault="002E42EC" w:rsidP="002E42EC">
      <w:pPr>
        <w:ind w:left="864" w:right="864"/>
      </w:pPr>
    </w:p>
    <w:p w14:paraId="00517BE5" w14:textId="7C6AF0C6" w:rsidR="00576B7E" w:rsidRDefault="00576B7E" w:rsidP="00DB3874">
      <w:pPr>
        <w:pStyle w:val="Heading5"/>
        <w:ind w:left="864"/>
      </w:pPr>
      <w:r>
        <w:t>Security Measures</w:t>
      </w:r>
    </w:p>
    <w:p w14:paraId="03B6854A" w14:textId="77777777" w:rsidR="00DB3874" w:rsidRPr="00DB3874" w:rsidRDefault="00DB3874" w:rsidP="00DB3874"/>
    <w:p w14:paraId="412D4820" w14:textId="4A9E700A" w:rsidR="002E42EC" w:rsidRDefault="00576B7E" w:rsidP="00576B7E">
      <w:pPr>
        <w:ind w:left="864" w:right="864"/>
      </w:pPr>
      <w:proofErr w:type="spellStart"/>
      <w:r>
        <w:t>SpendSense</w:t>
      </w:r>
      <w:proofErr w:type="spellEnd"/>
      <w:r>
        <w:t xml:space="preserve"> implements several important security measures to protect data and services. All communication is secured using HTTPS/TLS, managed by </w:t>
      </w:r>
      <w:proofErr w:type="spellStart"/>
      <w:r>
        <w:t>Traefik</w:t>
      </w:r>
      <w:proofErr w:type="spellEnd"/>
      <w:r>
        <w:t xml:space="preserve"> with custom certificates. The application uses network segmentation through the </w:t>
      </w:r>
      <w:proofErr w:type="spellStart"/>
      <w:r>
        <w:t>spendsense</w:t>
      </w:r>
      <w:proofErr w:type="spellEnd"/>
      <w:r>
        <w:t>-net Docker network to isolate internal services and limit access. Role-based access control is handled by Keycloak to manage user permissions. Containers are isolated from each other using Docker’s built-in features and named networks. However, there is currently no rate limiting or web application firewall (WAF) configured, so it is recommended to consider adding middleware to protect against abuse or attacks.</w:t>
      </w:r>
    </w:p>
    <w:p w14:paraId="13B11386" w14:textId="77777777" w:rsidR="00354C54" w:rsidRDefault="00354C54" w:rsidP="00576B7E">
      <w:pPr>
        <w:ind w:left="864" w:right="864"/>
      </w:pPr>
    </w:p>
    <w:p w14:paraId="35A2B633" w14:textId="77777777" w:rsidR="00354C54" w:rsidRDefault="00354C54" w:rsidP="00576B7E">
      <w:pPr>
        <w:ind w:left="864" w:right="864"/>
      </w:pPr>
    </w:p>
    <w:p w14:paraId="2CBAFC91" w14:textId="77777777" w:rsidR="00354C54" w:rsidRDefault="00354C54" w:rsidP="00354C54">
      <w:pPr>
        <w:pStyle w:val="Heading1"/>
        <w:ind w:left="864"/>
        <w:jc w:val="left"/>
      </w:pPr>
      <w:r>
        <w:t>Recommendations</w:t>
      </w:r>
    </w:p>
    <w:p w14:paraId="3B012EF1" w14:textId="77777777" w:rsidR="00354C54" w:rsidRPr="00354C54" w:rsidRDefault="00354C54" w:rsidP="00354C54"/>
    <w:p w14:paraId="011AEDF3" w14:textId="3C4A2951" w:rsidR="00354C54" w:rsidRDefault="00354C54" w:rsidP="00576B7E">
      <w:pPr>
        <w:ind w:left="864" w:right="864"/>
      </w:pPr>
      <w:r w:rsidRPr="00354C54">
        <w:t>To improve data protection and follow GDPR rules, it is important to encrypt MySQL data stored on disk. There should be a clear policy explaining how long personal data is kept and how deletions are recorded. Adding features that let users download their personal data (export or portability) is also needed. Logs and monitoring data should be checked regularly to make sure no sensitive information is exposed. The process for deleting user data should be well documented and tested to ensure it works properly. Running security tests on the whole system can help find and fix weaknesses. Finally, using environment variables stored in a secure vault instead of plain-text passwords will better protect sensitive settings.</w:t>
      </w:r>
    </w:p>
    <w:p w14:paraId="5370AC58" w14:textId="77777777" w:rsidR="00354C54" w:rsidRDefault="00354C54" w:rsidP="00576B7E">
      <w:pPr>
        <w:ind w:left="864" w:right="864"/>
      </w:pPr>
    </w:p>
    <w:p w14:paraId="5A3307CC" w14:textId="77777777" w:rsidR="00354C54" w:rsidRDefault="00354C54" w:rsidP="00576B7E">
      <w:pPr>
        <w:ind w:left="864" w:right="864"/>
      </w:pPr>
    </w:p>
    <w:p w14:paraId="251442EE" w14:textId="6616080B" w:rsidR="00354C54" w:rsidRDefault="00354C54" w:rsidP="00354C54">
      <w:pPr>
        <w:pStyle w:val="Heading1"/>
        <w:ind w:left="864"/>
        <w:jc w:val="left"/>
      </w:pPr>
      <w:r w:rsidRPr="00354C54">
        <w:t>Conclusion</w:t>
      </w:r>
    </w:p>
    <w:p w14:paraId="308BCD0B" w14:textId="77777777" w:rsidR="00354C54" w:rsidRDefault="00354C54" w:rsidP="00354C54">
      <w:pPr>
        <w:ind w:left="864"/>
      </w:pPr>
    </w:p>
    <w:p w14:paraId="01E0D914" w14:textId="25A0C515" w:rsidR="00354C54" w:rsidRPr="00354C54" w:rsidRDefault="00354C54" w:rsidP="00354C54">
      <w:pPr>
        <w:ind w:left="864"/>
      </w:pPr>
      <w:r w:rsidRPr="00354C54">
        <w:t xml:space="preserve">While the </w:t>
      </w:r>
      <w:proofErr w:type="spellStart"/>
      <w:r w:rsidRPr="00354C54">
        <w:t>SpendSense</w:t>
      </w:r>
      <w:proofErr w:type="spellEnd"/>
      <w:r w:rsidRPr="00354C54">
        <w:t xml:space="preserve"> application demonstrates strong foundational practices in secure microservice architecture and uses tools like Keycloak and OAuth2 Proxy to handle user identity and access management, some GDPR-specific practices (like data export, consent logging, and at-rest encryption) should be </w:t>
      </w:r>
      <w:r>
        <w:t>improved</w:t>
      </w:r>
      <w:r w:rsidRPr="00354C54">
        <w:t xml:space="preserve"> for full compliance.</w:t>
      </w:r>
    </w:p>
    <w:sectPr w:rsidR="00354C54" w:rsidRPr="00354C54" w:rsidSect="00A61A31">
      <w:pgSz w:w="12240" w:h="15840" w:code="1"/>
      <w:pgMar w:top="720" w:right="720" w:bottom="0" w:left="720"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AE963D" w14:textId="77777777" w:rsidR="00125342" w:rsidRDefault="00125342" w:rsidP="00E74B29">
      <w:r>
        <w:separator/>
      </w:r>
    </w:p>
  </w:endnote>
  <w:endnote w:type="continuationSeparator" w:id="0">
    <w:p w14:paraId="25BA7947" w14:textId="77777777" w:rsidR="00125342" w:rsidRDefault="00125342"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863F6D" w14:textId="77777777" w:rsidR="00125342" w:rsidRDefault="00125342" w:rsidP="00E74B29">
      <w:r>
        <w:separator/>
      </w:r>
    </w:p>
  </w:footnote>
  <w:footnote w:type="continuationSeparator" w:id="0">
    <w:p w14:paraId="6B852564" w14:textId="77777777" w:rsidR="00125342" w:rsidRDefault="00125342"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872A0"/>
    <w:multiLevelType w:val="hybridMultilevel"/>
    <w:tmpl w:val="4470C954"/>
    <w:lvl w:ilvl="0" w:tplc="0409000B">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 w15:restartNumberingAfterBreak="0">
    <w:nsid w:val="0EA21FBF"/>
    <w:multiLevelType w:val="hybridMultilevel"/>
    <w:tmpl w:val="459CD9F8"/>
    <w:lvl w:ilvl="0" w:tplc="0409000B">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 w15:restartNumberingAfterBreak="0">
    <w:nsid w:val="14594F04"/>
    <w:multiLevelType w:val="hybridMultilevel"/>
    <w:tmpl w:val="45DEE866"/>
    <w:lvl w:ilvl="0" w:tplc="0409000B">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 w15:restartNumberingAfterBreak="0">
    <w:nsid w:val="154811D4"/>
    <w:multiLevelType w:val="hybridMultilevel"/>
    <w:tmpl w:val="5FEA09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DC954C4"/>
    <w:multiLevelType w:val="hybridMultilevel"/>
    <w:tmpl w:val="7CF2DE20"/>
    <w:lvl w:ilvl="0" w:tplc="1130E4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3AE7498"/>
    <w:multiLevelType w:val="hybridMultilevel"/>
    <w:tmpl w:val="6CE06FF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7008D7"/>
    <w:multiLevelType w:val="hybridMultilevel"/>
    <w:tmpl w:val="A2E2404A"/>
    <w:lvl w:ilvl="0" w:tplc="0409000B">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8" w15:restartNumberingAfterBreak="0">
    <w:nsid w:val="44A82710"/>
    <w:multiLevelType w:val="hybridMultilevel"/>
    <w:tmpl w:val="9C30827C"/>
    <w:lvl w:ilvl="0" w:tplc="0409000B">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9" w15:restartNumberingAfterBreak="0">
    <w:nsid w:val="4CF349BF"/>
    <w:multiLevelType w:val="hybridMultilevel"/>
    <w:tmpl w:val="B4BC3B98"/>
    <w:lvl w:ilvl="0" w:tplc="0409000B">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0" w15:restartNumberingAfterBreak="0">
    <w:nsid w:val="4E93161A"/>
    <w:multiLevelType w:val="hybridMultilevel"/>
    <w:tmpl w:val="48FC3C6A"/>
    <w:lvl w:ilvl="0" w:tplc="0409000B">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1" w15:restartNumberingAfterBreak="0">
    <w:nsid w:val="55101A7A"/>
    <w:multiLevelType w:val="hybridMultilevel"/>
    <w:tmpl w:val="E45AF7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76B74EC"/>
    <w:multiLevelType w:val="hybridMultilevel"/>
    <w:tmpl w:val="AE7090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E451E4"/>
    <w:multiLevelType w:val="hybridMultilevel"/>
    <w:tmpl w:val="BEC04834"/>
    <w:lvl w:ilvl="0" w:tplc="0409000B">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4" w15:restartNumberingAfterBreak="0">
    <w:nsid w:val="61C75F64"/>
    <w:multiLevelType w:val="hybridMultilevel"/>
    <w:tmpl w:val="0AE41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1F22935"/>
    <w:multiLevelType w:val="hybridMultilevel"/>
    <w:tmpl w:val="222A2A4A"/>
    <w:lvl w:ilvl="0" w:tplc="0409000B">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6" w15:restartNumberingAfterBreak="0">
    <w:nsid w:val="77717FDF"/>
    <w:multiLevelType w:val="hybridMultilevel"/>
    <w:tmpl w:val="E62E3388"/>
    <w:lvl w:ilvl="0" w:tplc="0409000B">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num w:numId="1" w16cid:durableId="1892495468">
    <w:abstractNumId w:val="4"/>
  </w:num>
  <w:num w:numId="2" w16cid:durableId="1159346968">
    <w:abstractNumId w:val="11"/>
  </w:num>
  <w:num w:numId="3" w16cid:durableId="2085567448">
    <w:abstractNumId w:val="3"/>
  </w:num>
  <w:num w:numId="4" w16cid:durableId="2119596210">
    <w:abstractNumId w:val="5"/>
  </w:num>
  <w:num w:numId="5" w16cid:durableId="1931622056">
    <w:abstractNumId w:val="14"/>
  </w:num>
  <w:num w:numId="6" w16cid:durableId="540285594">
    <w:abstractNumId w:val="10"/>
  </w:num>
  <w:num w:numId="7" w16cid:durableId="1009798474">
    <w:abstractNumId w:val="9"/>
  </w:num>
  <w:num w:numId="8" w16cid:durableId="1886871903">
    <w:abstractNumId w:val="12"/>
  </w:num>
  <w:num w:numId="9" w16cid:durableId="1299610602">
    <w:abstractNumId w:val="0"/>
  </w:num>
  <w:num w:numId="10" w16cid:durableId="13188294">
    <w:abstractNumId w:val="7"/>
  </w:num>
  <w:num w:numId="11" w16cid:durableId="1952128531">
    <w:abstractNumId w:val="16"/>
  </w:num>
  <w:num w:numId="12" w16cid:durableId="742990177">
    <w:abstractNumId w:val="8"/>
  </w:num>
  <w:num w:numId="13" w16cid:durableId="991912249">
    <w:abstractNumId w:val="6"/>
  </w:num>
  <w:num w:numId="14" w16cid:durableId="254485789">
    <w:abstractNumId w:val="15"/>
  </w:num>
  <w:num w:numId="15" w16cid:durableId="1494371413">
    <w:abstractNumId w:val="2"/>
  </w:num>
  <w:num w:numId="16" w16cid:durableId="795954351">
    <w:abstractNumId w:val="1"/>
  </w:num>
  <w:num w:numId="17" w16cid:durableId="11510933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33F"/>
    <w:rsid w:val="000837C9"/>
    <w:rsid w:val="00086FA5"/>
    <w:rsid w:val="0009433F"/>
    <w:rsid w:val="000E4641"/>
    <w:rsid w:val="00125342"/>
    <w:rsid w:val="00151006"/>
    <w:rsid w:val="00151F66"/>
    <w:rsid w:val="00154BD4"/>
    <w:rsid w:val="00177F8D"/>
    <w:rsid w:val="00185F4A"/>
    <w:rsid w:val="001E097E"/>
    <w:rsid w:val="001F4B42"/>
    <w:rsid w:val="002458FE"/>
    <w:rsid w:val="00274695"/>
    <w:rsid w:val="002B6C96"/>
    <w:rsid w:val="002C7498"/>
    <w:rsid w:val="002D2200"/>
    <w:rsid w:val="002E42EC"/>
    <w:rsid w:val="00352379"/>
    <w:rsid w:val="00354C54"/>
    <w:rsid w:val="00404F80"/>
    <w:rsid w:val="0040564B"/>
    <w:rsid w:val="0048120C"/>
    <w:rsid w:val="004909D9"/>
    <w:rsid w:val="00493181"/>
    <w:rsid w:val="004A67CB"/>
    <w:rsid w:val="004C28CF"/>
    <w:rsid w:val="004C5781"/>
    <w:rsid w:val="00510417"/>
    <w:rsid w:val="00521481"/>
    <w:rsid w:val="005326B0"/>
    <w:rsid w:val="00536D51"/>
    <w:rsid w:val="00576B7E"/>
    <w:rsid w:val="005E598B"/>
    <w:rsid w:val="00665110"/>
    <w:rsid w:val="006709F1"/>
    <w:rsid w:val="006960B7"/>
    <w:rsid w:val="006C60E6"/>
    <w:rsid w:val="00743D2A"/>
    <w:rsid w:val="00753540"/>
    <w:rsid w:val="007A1BC6"/>
    <w:rsid w:val="007E7573"/>
    <w:rsid w:val="007F3589"/>
    <w:rsid w:val="008143F9"/>
    <w:rsid w:val="00837914"/>
    <w:rsid w:val="00873B3D"/>
    <w:rsid w:val="00874FE7"/>
    <w:rsid w:val="008D1A8E"/>
    <w:rsid w:val="008D2021"/>
    <w:rsid w:val="008D29A9"/>
    <w:rsid w:val="00914CD7"/>
    <w:rsid w:val="00952F7D"/>
    <w:rsid w:val="00961043"/>
    <w:rsid w:val="009A38BA"/>
    <w:rsid w:val="00A55D95"/>
    <w:rsid w:val="00A61A31"/>
    <w:rsid w:val="00A7702E"/>
    <w:rsid w:val="00A83154"/>
    <w:rsid w:val="00A8767D"/>
    <w:rsid w:val="00B33F6C"/>
    <w:rsid w:val="00B43E11"/>
    <w:rsid w:val="00B63607"/>
    <w:rsid w:val="00BC1E80"/>
    <w:rsid w:val="00BE53A3"/>
    <w:rsid w:val="00BF2E2C"/>
    <w:rsid w:val="00C409B7"/>
    <w:rsid w:val="00D43125"/>
    <w:rsid w:val="00D43B3A"/>
    <w:rsid w:val="00D66A3A"/>
    <w:rsid w:val="00DB3874"/>
    <w:rsid w:val="00DC2555"/>
    <w:rsid w:val="00DF198B"/>
    <w:rsid w:val="00E319CD"/>
    <w:rsid w:val="00E50FD9"/>
    <w:rsid w:val="00E74B29"/>
    <w:rsid w:val="00EB7C2B"/>
    <w:rsid w:val="00ED59DC"/>
    <w:rsid w:val="00EE5D8C"/>
    <w:rsid w:val="00F059DE"/>
    <w:rsid w:val="00F43D9E"/>
    <w:rsid w:val="00F87AA1"/>
    <w:rsid w:val="00FA2EC3"/>
    <w:rsid w:val="00FB2F1A"/>
    <w:rsid w:val="00FC7717"/>
    <w:rsid w:val="1AA6BC83"/>
    <w:rsid w:val="1C272044"/>
    <w:rsid w:val="322767D6"/>
    <w:rsid w:val="35813D6C"/>
    <w:rsid w:val="39A4FAA8"/>
    <w:rsid w:val="3B9EB734"/>
    <w:rsid w:val="57D8812F"/>
    <w:rsid w:val="7553BB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D0E11E"/>
  <w15:chartTrackingRefBased/>
  <w15:docId w15:val="{13055387-1459-4C55-90CD-5E5B36141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E50FD9"/>
    <w:pPr>
      <w:ind w:left="720"/>
      <w:contextualSpacing/>
    </w:pPr>
  </w:style>
  <w:style w:type="table" w:styleId="GridTable5Dark-Accent3">
    <w:name w:val="Grid Table 5 Dark Accent 3"/>
    <w:basedOn w:val="TableNormal"/>
    <w:uiPriority w:val="50"/>
    <w:rsid w:val="00154BD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BE3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75B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75B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75B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75BC" w:themeFill="accent3"/>
      </w:tcPr>
    </w:tblStylePr>
    <w:tblStylePr w:type="band1Vert">
      <w:tblPr/>
      <w:tcPr>
        <w:shd w:val="clear" w:color="auto" w:fill="98C8EF" w:themeFill="accent3" w:themeFillTint="66"/>
      </w:tcPr>
    </w:tblStylePr>
    <w:tblStylePr w:type="band1Horz">
      <w:tblPr/>
      <w:tcPr>
        <w:shd w:val="clear" w:color="auto" w:fill="98C8EF" w:themeFill="accent3" w:themeFillTint="66"/>
      </w:tcPr>
    </w:tblStylePr>
  </w:style>
  <w:style w:type="table" w:styleId="GridTable5Dark-Accent6">
    <w:name w:val="Grid Table 5 Dark Accent 6"/>
    <w:basedOn w:val="TableNormal"/>
    <w:uiPriority w:val="50"/>
    <w:rsid w:val="00154BD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8F0FF"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EE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EE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EE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EEF" w:themeFill="accent6"/>
      </w:tcPr>
    </w:tblStylePr>
    <w:tblStylePr w:type="band1Vert">
      <w:tblPr/>
      <w:tcPr>
        <w:shd w:val="clear" w:color="auto" w:fill="92E1FF" w:themeFill="accent6" w:themeFillTint="66"/>
      </w:tcPr>
    </w:tblStylePr>
    <w:tblStylePr w:type="band1Horz">
      <w:tblPr/>
      <w:tcPr>
        <w:shd w:val="clear" w:color="auto" w:fill="92E1FF" w:themeFill="accent6" w:themeFillTint="66"/>
      </w:tcPr>
    </w:tblStylePr>
  </w:style>
  <w:style w:type="table" w:styleId="GridTable5Dark-Accent4">
    <w:name w:val="Grid Table 5 Dark Accent 4"/>
    <w:basedOn w:val="TableNormal"/>
    <w:uiPriority w:val="50"/>
    <w:rsid w:val="00154BD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EDF9"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7AAE1"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7AAE1"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7AAE1"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7AAE1" w:themeFill="accent4"/>
      </w:tcPr>
    </w:tblStylePr>
    <w:tblStylePr w:type="band1Vert">
      <w:tblPr/>
      <w:tcPr>
        <w:shd w:val="clear" w:color="auto" w:fill="A8DCF3" w:themeFill="accent4" w:themeFillTint="66"/>
      </w:tcPr>
    </w:tblStylePr>
    <w:tblStylePr w:type="band1Horz">
      <w:tblPr/>
      <w:tcPr>
        <w:shd w:val="clear" w:color="auto" w:fill="A8DCF3" w:themeFill="accent4" w:themeFillTint="66"/>
      </w:tcPr>
    </w:tblStylePr>
  </w:style>
  <w:style w:type="table" w:styleId="GridTable5Dark-Accent2">
    <w:name w:val="Grid Table 5 Dark Accent 2"/>
    <w:basedOn w:val="TableNormal"/>
    <w:uiPriority w:val="50"/>
    <w:rsid w:val="00154BD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DD1F0"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389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389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389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3890" w:themeFill="accent2"/>
      </w:tcPr>
    </w:tblStylePr>
    <w:tblStylePr w:type="band1Vert">
      <w:tblPr/>
      <w:tcPr>
        <w:shd w:val="clear" w:color="auto" w:fill="9BA4E1" w:themeFill="accent2" w:themeFillTint="66"/>
      </w:tcPr>
    </w:tblStylePr>
    <w:tblStylePr w:type="band1Horz">
      <w:tblPr/>
      <w:tcPr>
        <w:shd w:val="clear" w:color="auto" w:fill="9BA4E1" w:themeFill="accent2" w:themeFillTint="66"/>
      </w:tcPr>
    </w:tblStylePr>
  </w:style>
  <w:style w:type="table" w:styleId="GridTable4-Accent2">
    <w:name w:val="Grid Table 4 Accent 2"/>
    <w:basedOn w:val="TableNormal"/>
    <w:uiPriority w:val="49"/>
    <w:rsid w:val="00154BD4"/>
    <w:tblPr>
      <w:tblStyleRowBandSize w:val="1"/>
      <w:tblStyleColBandSize w:val="1"/>
      <w:tblBorders>
        <w:top w:val="single" w:sz="4" w:space="0" w:color="6976D2" w:themeColor="accent2" w:themeTint="99"/>
        <w:left w:val="single" w:sz="4" w:space="0" w:color="6976D2" w:themeColor="accent2" w:themeTint="99"/>
        <w:bottom w:val="single" w:sz="4" w:space="0" w:color="6976D2" w:themeColor="accent2" w:themeTint="99"/>
        <w:right w:val="single" w:sz="4" w:space="0" w:color="6976D2" w:themeColor="accent2" w:themeTint="99"/>
        <w:insideH w:val="single" w:sz="4" w:space="0" w:color="6976D2" w:themeColor="accent2" w:themeTint="99"/>
        <w:insideV w:val="single" w:sz="4" w:space="0" w:color="6976D2" w:themeColor="accent2" w:themeTint="99"/>
      </w:tblBorders>
    </w:tblPr>
    <w:tblStylePr w:type="firstRow">
      <w:rPr>
        <w:b/>
        <w:bCs/>
        <w:color w:val="FFFFFF" w:themeColor="background1"/>
      </w:rPr>
      <w:tblPr/>
      <w:tcPr>
        <w:tcBorders>
          <w:top w:val="single" w:sz="4" w:space="0" w:color="2B3890" w:themeColor="accent2"/>
          <w:left w:val="single" w:sz="4" w:space="0" w:color="2B3890" w:themeColor="accent2"/>
          <w:bottom w:val="single" w:sz="4" w:space="0" w:color="2B3890" w:themeColor="accent2"/>
          <w:right w:val="single" w:sz="4" w:space="0" w:color="2B3890" w:themeColor="accent2"/>
          <w:insideH w:val="nil"/>
          <w:insideV w:val="nil"/>
        </w:tcBorders>
        <w:shd w:val="clear" w:color="auto" w:fill="2B3890" w:themeFill="accent2"/>
      </w:tcPr>
    </w:tblStylePr>
    <w:tblStylePr w:type="lastRow">
      <w:rPr>
        <w:b/>
        <w:bCs/>
      </w:rPr>
      <w:tblPr/>
      <w:tcPr>
        <w:tcBorders>
          <w:top w:val="double" w:sz="4" w:space="0" w:color="2B3890" w:themeColor="accent2"/>
        </w:tcBorders>
      </w:tcPr>
    </w:tblStylePr>
    <w:tblStylePr w:type="firstCol">
      <w:rPr>
        <w:b/>
        <w:bCs/>
      </w:rPr>
    </w:tblStylePr>
    <w:tblStylePr w:type="lastCol">
      <w:rPr>
        <w:b/>
        <w:bCs/>
      </w:rPr>
    </w:tblStylePr>
    <w:tblStylePr w:type="band1Vert">
      <w:tblPr/>
      <w:tcPr>
        <w:shd w:val="clear" w:color="auto" w:fill="CDD1F0" w:themeFill="accent2" w:themeFillTint="33"/>
      </w:tcPr>
    </w:tblStylePr>
    <w:tblStylePr w:type="band1Horz">
      <w:tblPr/>
      <w:tcPr>
        <w:shd w:val="clear" w:color="auto" w:fill="CDD1F0" w:themeFill="accent2" w:themeFillTint="33"/>
      </w:tcPr>
    </w:tblStylePr>
  </w:style>
  <w:style w:type="paragraph" w:styleId="TOCHeading">
    <w:name w:val="TOC Heading"/>
    <w:basedOn w:val="Heading1"/>
    <w:next w:val="Normal"/>
    <w:uiPriority w:val="39"/>
    <w:unhideWhenUsed/>
    <w:qFormat/>
    <w:rsid w:val="00404F80"/>
    <w:pPr>
      <w:keepNext/>
      <w:keepLines/>
      <w:spacing w:before="240" w:line="259" w:lineRule="auto"/>
      <w:jc w:val="left"/>
      <w:outlineLvl w:val="9"/>
    </w:pPr>
    <w:rPr>
      <w:rFonts w:eastAsiaTheme="majorEastAsia" w:cstheme="majorBidi"/>
      <w:b w:val="0"/>
      <w:color w:val="35484C" w:themeColor="accent1" w:themeShade="BF"/>
      <w:sz w:val="32"/>
      <w:szCs w:val="32"/>
    </w:rPr>
  </w:style>
  <w:style w:type="paragraph" w:styleId="TOC1">
    <w:name w:val="toc 1"/>
    <w:basedOn w:val="Normal"/>
    <w:next w:val="Normal"/>
    <w:autoRedefine/>
    <w:uiPriority w:val="39"/>
    <w:rsid w:val="00404F80"/>
    <w:pPr>
      <w:spacing w:after="100"/>
    </w:pPr>
  </w:style>
  <w:style w:type="paragraph" w:styleId="TOC2">
    <w:name w:val="toc 2"/>
    <w:basedOn w:val="Normal"/>
    <w:next w:val="Normal"/>
    <w:autoRedefine/>
    <w:uiPriority w:val="39"/>
    <w:rsid w:val="00404F80"/>
    <w:pPr>
      <w:spacing w:after="100"/>
      <w:ind w:left="240"/>
    </w:pPr>
  </w:style>
  <w:style w:type="paragraph" w:styleId="TOC3">
    <w:name w:val="toc 3"/>
    <w:basedOn w:val="Normal"/>
    <w:next w:val="Normal"/>
    <w:autoRedefine/>
    <w:uiPriority w:val="39"/>
    <w:rsid w:val="00404F80"/>
    <w:pPr>
      <w:spacing w:after="100"/>
      <w:ind w:left="480"/>
    </w:pPr>
  </w:style>
  <w:style w:type="character" w:styleId="Hyperlink">
    <w:name w:val="Hyperlink"/>
    <w:basedOn w:val="DefaultParagraphFont"/>
    <w:uiPriority w:val="99"/>
    <w:unhideWhenUsed/>
    <w:rsid w:val="00404F8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501933">
      <w:bodyDiv w:val="1"/>
      <w:marLeft w:val="0"/>
      <w:marRight w:val="0"/>
      <w:marTop w:val="0"/>
      <w:marBottom w:val="0"/>
      <w:divBdr>
        <w:top w:val="none" w:sz="0" w:space="0" w:color="auto"/>
        <w:left w:val="none" w:sz="0" w:space="0" w:color="auto"/>
        <w:bottom w:val="none" w:sz="0" w:space="0" w:color="auto"/>
        <w:right w:val="none" w:sz="0" w:space="0" w:color="auto"/>
      </w:divBdr>
    </w:div>
    <w:div w:id="597451678">
      <w:bodyDiv w:val="1"/>
      <w:marLeft w:val="0"/>
      <w:marRight w:val="0"/>
      <w:marTop w:val="0"/>
      <w:marBottom w:val="0"/>
      <w:divBdr>
        <w:top w:val="none" w:sz="0" w:space="0" w:color="auto"/>
        <w:left w:val="none" w:sz="0" w:space="0" w:color="auto"/>
        <w:bottom w:val="none" w:sz="0" w:space="0" w:color="auto"/>
        <w:right w:val="none" w:sz="0" w:space="0" w:color="auto"/>
      </w:divBdr>
    </w:div>
    <w:div w:id="607197104">
      <w:bodyDiv w:val="1"/>
      <w:marLeft w:val="0"/>
      <w:marRight w:val="0"/>
      <w:marTop w:val="0"/>
      <w:marBottom w:val="0"/>
      <w:divBdr>
        <w:top w:val="none" w:sz="0" w:space="0" w:color="auto"/>
        <w:left w:val="none" w:sz="0" w:space="0" w:color="auto"/>
        <w:bottom w:val="none" w:sz="0" w:space="0" w:color="auto"/>
        <w:right w:val="none" w:sz="0" w:space="0" w:color="auto"/>
      </w:divBdr>
    </w:div>
    <w:div w:id="656037629">
      <w:bodyDiv w:val="1"/>
      <w:marLeft w:val="0"/>
      <w:marRight w:val="0"/>
      <w:marTop w:val="0"/>
      <w:marBottom w:val="0"/>
      <w:divBdr>
        <w:top w:val="none" w:sz="0" w:space="0" w:color="auto"/>
        <w:left w:val="none" w:sz="0" w:space="0" w:color="auto"/>
        <w:bottom w:val="none" w:sz="0" w:space="0" w:color="auto"/>
        <w:right w:val="none" w:sz="0" w:space="0" w:color="auto"/>
      </w:divBdr>
    </w:div>
    <w:div w:id="910894139">
      <w:bodyDiv w:val="1"/>
      <w:marLeft w:val="0"/>
      <w:marRight w:val="0"/>
      <w:marTop w:val="0"/>
      <w:marBottom w:val="0"/>
      <w:divBdr>
        <w:top w:val="none" w:sz="0" w:space="0" w:color="auto"/>
        <w:left w:val="none" w:sz="0" w:space="0" w:color="auto"/>
        <w:bottom w:val="none" w:sz="0" w:space="0" w:color="auto"/>
        <w:right w:val="none" w:sz="0" w:space="0" w:color="auto"/>
      </w:divBdr>
    </w:div>
    <w:div w:id="936015492">
      <w:bodyDiv w:val="1"/>
      <w:marLeft w:val="0"/>
      <w:marRight w:val="0"/>
      <w:marTop w:val="0"/>
      <w:marBottom w:val="0"/>
      <w:divBdr>
        <w:top w:val="none" w:sz="0" w:space="0" w:color="auto"/>
        <w:left w:val="none" w:sz="0" w:space="0" w:color="auto"/>
        <w:bottom w:val="none" w:sz="0" w:space="0" w:color="auto"/>
        <w:right w:val="none" w:sz="0" w:space="0" w:color="auto"/>
      </w:divBdr>
    </w:div>
    <w:div w:id="941106277">
      <w:bodyDiv w:val="1"/>
      <w:marLeft w:val="0"/>
      <w:marRight w:val="0"/>
      <w:marTop w:val="0"/>
      <w:marBottom w:val="0"/>
      <w:divBdr>
        <w:top w:val="none" w:sz="0" w:space="0" w:color="auto"/>
        <w:left w:val="none" w:sz="0" w:space="0" w:color="auto"/>
        <w:bottom w:val="none" w:sz="0" w:space="0" w:color="auto"/>
        <w:right w:val="none" w:sz="0" w:space="0" w:color="auto"/>
      </w:divBdr>
    </w:div>
    <w:div w:id="998922112">
      <w:bodyDiv w:val="1"/>
      <w:marLeft w:val="0"/>
      <w:marRight w:val="0"/>
      <w:marTop w:val="0"/>
      <w:marBottom w:val="0"/>
      <w:divBdr>
        <w:top w:val="none" w:sz="0" w:space="0" w:color="auto"/>
        <w:left w:val="none" w:sz="0" w:space="0" w:color="auto"/>
        <w:bottom w:val="none" w:sz="0" w:space="0" w:color="auto"/>
        <w:right w:val="none" w:sz="0" w:space="0" w:color="auto"/>
      </w:divBdr>
    </w:div>
    <w:div w:id="1119449220">
      <w:bodyDiv w:val="1"/>
      <w:marLeft w:val="0"/>
      <w:marRight w:val="0"/>
      <w:marTop w:val="0"/>
      <w:marBottom w:val="0"/>
      <w:divBdr>
        <w:top w:val="none" w:sz="0" w:space="0" w:color="auto"/>
        <w:left w:val="none" w:sz="0" w:space="0" w:color="auto"/>
        <w:bottom w:val="none" w:sz="0" w:space="0" w:color="auto"/>
        <w:right w:val="none" w:sz="0" w:space="0" w:color="auto"/>
      </w:divBdr>
    </w:div>
    <w:div w:id="1132401780">
      <w:bodyDiv w:val="1"/>
      <w:marLeft w:val="0"/>
      <w:marRight w:val="0"/>
      <w:marTop w:val="0"/>
      <w:marBottom w:val="0"/>
      <w:divBdr>
        <w:top w:val="none" w:sz="0" w:space="0" w:color="auto"/>
        <w:left w:val="none" w:sz="0" w:space="0" w:color="auto"/>
        <w:bottom w:val="none" w:sz="0" w:space="0" w:color="auto"/>
        <w:right w:val="none" w:sz="0" w:space="0" w:color="auto"/>
      </w:divBdr>
    </w:div>
    <w:div w:id="1328097955">
      <w:bodyDiv w:val="1"/>
      <w:marLeft w:val="0"/>
      <w:marRight w:val="0"/>
      <w:marTop w:val="0"/>
      <w:marBottom w:val="0"/>
      <w:divBdr>
        <w:top w:val="none" w:sz="0" w:space="0" w:color="auto"/>
        <w:left w:val="none" w:sz="0" w:space="0" w:color="auto"/>
        <w:bottom w:val="none" w:sz="0" w:space="0" w:color="auto"/>
        <w:right w:val="none" w:sz="0" w:space="0" w:color="auto"/>
      </w:divBdr>
    </w:div>
    <w:div w:id="1361124893">
      <w:bodyDiv w:val="1"/>
      <w:marLeft w:val="0"/>
      <w:marRight w:val="0"/>
      <w:marTop w:val="0"/>
      <w:marBottom w:val="0"/>
      <w:divBdr>
        <w:top w:val="none" w:sz="0" w:space="0" w:color="auto"/>
        <w:left w:val="none" w:sz="0" w:space="0" w:color="auto"/>
        <w:bottom w:val="none" w:sz="0" w:space="0" w:color="auto"/>
        <w:right w:val="none" w:sz="0" w:space="0" w:color="auto"/>
      </w:divBdr>
    </w:div>
    <w:div w:id="1433629064">
      <w:bodyDiv w:val="1"/>
      <w:marLeft w:val="0"/>
      <w:marRight w:val="0"/>
      <w:marTop w:val="0"/>
      <w:marBottom w:val="0"/>
      <w:divBdr>
        <w:top w:val="none" w:sz="0" w:space="0" w:color="auto"/>
        <w:left w:val="none" w:sz="0" w:space="0" w:color="auto"/>
        <w:bottom w:val="none" w:sz="0" w:space="0" w:color="auto"/>
        <w:right w:val="none" w:sz="0" w:space="0" w:color="auto"/>
      </w:divBdr>
    </w:div>
    <w:div w:id="1617559891">
      <w:bodyDiv w:val="1"/>
      <w:marLeft w:val="0"/>
      <w:marRight w:val="0"/>
      <w:marTop w:val="0"/>
      <w:marBottom w:val="0"/>
      <w:divBdr>
        <w:top w:val="none" w:sz="0" w:space="0" w:color="auto"/>
        <w:left w:val="none" w:sz="0" w:space="0" w:color="auto"/>
        <w:bottom w:val="none" w:sz="0" w:space="0" w:color="auto"/>
        <w:right w:val="none" w:sz="0" w:space="0" w:color="auto"/>
      </w:divBdr>
    </w:div>
    <w:div w:id="1635989982">
      <w:bodyDiv w:val="1"/>
      <w:marLeft w:val="0"/>
      <w:marRight w:val="0"/>
      <w:marTop w:val="0"/>
      <w:marBottom w:val="0"/>
      <w:divBdr>
        <w:top w:val="none" w:sz="0" w:space="0" w:color="auto"/>
        <w:left w:val="none" w:sz="0" w:space="0" w:color="auto"/>
        <w:bottom w:val="none" w:sz="0" w:space="0" w:color="auto"/>
        <w:right w:val="none" w:sz="0" w:space="0" w:color="auto"/>
      </w:divBdr>
    </w:div>
    <w:div w:id="1849367099">
      <w:bodyDiv w:val="1"/>
      <w:marLeft w:val="0"/>
      <w:marRight w:val="0"/>
      <w:marTop w:val="0"/>
      <w:marBottom w:val="0"/>
      <w:divBdr>
        <w:top w:val="none" w:sz="0" w:space="0" w:color="auto"/>
        <w:left w:val="none" w:sz="0" w:space="0" w:color="auto"/>
        <w:bottom w:val="none" w:sz="0" w:space="0" w:color="auto"/>
        <w:right w:val="none" w:sz="0" w:space="0" w:color="auto"/>
      </w:divBdr>
    </w:div>
    <w:div w:id="1977639092">
      <w:bodyDiv w:val="1"/>
      <w:marLeft w:val="0"/>
      <w:marRight w:val="0"/>
      <w:marTop w:val="0"/>
      <w:marBottom w:val="0"/>
      <w:divBdr>
        <w:top w:val="none" w:sz="0" w:space="0" w:color="auto"/>
        <w:left w:val="none" w:sz="0" w:space="0" w:color="auto"/>
        <w:bottom w:val="none" w:sz="0" w:space="0" w:color="auto"/>
        <w:right w:val="none" w:sz="0" w:space="0" w:color="auto"/>
      </w:divBdr>
    </w:div>
    <w:div w:id="1982224927">
      <w:bodyDiv w:val="1"/>
      <w:marLeft w:val="0"/>
      <w:marRight w:val="0"/>
      <w:marTop w:val="0"/>
      <w:marBottom w:val="0"/>
      <w:divBdr>
        <w:top w:val="none" w:sz="0" w:space="0" w:color="auto"/>
        <w:left w:val="none" w:sz="0" w:space="0" w:color="auto"/>
        <w:bottom w:val="none" w:sz="0" w:space="0" w:color="auto"/>
        <w:right w:val="none" w:sz="0" w:space="0" w:color="auto"/>
      </w:divBdr>
    </w:div>
    <w:div w:id="213840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sse\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C283958214C4D35890ACD491A3140E2"/>
        <w:category>
          <w:name w:val="General"/>
          <w:gallery w:val="placeholder"/>
        </w:category>
        <w:types>
          <w:type w:val="bbPlcHdr"/>
        </w:types>
        <w:behaviors>
          <w:behavior w:val="content"/>
        </w:behaviors>
        <w:guid w:val="{E1D386BD-E1DD-4D49-BF53-E108BE258422}"/>
      </w:docPartPr>
      <w:docPartBody>
        <w:p w:rsidR="008B0993" w:rsidRDefault="00000000">
          <w:pPr>
            <w:pStyle w:val="7C283958214C4D35890ACD491A3140E2"/>
          </w:pPr>
          <w:r w:rsidRPr="00DF198B">
            <w:t>—</w:t>
          </w:r>
        </w:p>
      </w:docPartBody>
    </w:docPart>
    <w:docPart>
      <w:docPartPr>
        <w:name w:val="3DE5F991FE1F4EECA1C63152DEBF1B5A"/>
        <w:category>
          <w:name w:val="General"/>
          <w:gallery w:val="placeholder"/>
        </w:category>
        <w:types>
          <w:type w:val="bbPlcHdr"/>
        </w:types>
        <w:behaviors>
          <w:behavior w:val="content"/>
        </w:behaviors>
        <w:guid w:val="{33352EF6-00FE-4C56-B681-2034F9F0E086}"/>
      </w:docPartPr>
      <w:docPartBody>
        <w:p w:rsidR="008B0993" w:rsidRDefault="00000000">
          <w:pPr>
            <w:pStyle w:val="3DE5F991FE1F4EECA1C63152DEBF1B5A"/>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3B6"/>
    <w:rsid w:val="00012CA6"/>
    <w:rsid w:val="001423B6"/>
    <w:rsid w:val="00151006"/>
    <w:rsid w:val="00163C6D"/>
    <w:rsid w:val="0038550B"/>
    <w:rsid w:val="00445BBC"/>
    <w:rsid w:val="00537494"/>
    <w:rsid w:val="00873B3D"/>
    <w:rsid w:val="008B0993"/>
    <w:rsid w:val="008D29A9"/>
    <w:rsid w:val="00924529"/>
    <w:rsid w:val="00961043"/>
    <w:rsid w:val="00A7446F"/>
    <w:rsid w:val="00A8767D"/>
    <w:rsid w:val="00BF2E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C283958214C4D35890ACD491A3140E2">
    <w:name w:val="7C283958214C4D35890ACD491A3140E2"/>
  </w:style>
  <w:style w:type="paragraph" w:customStyle="1" w:styleId="3DE5F991FE1F4EECA1C63152DEBF1B5A">
    <w:name w:val="3DE5F991FE1F4EECA1C63152DEBF1B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5839996-CCC2-4B4B-BB45-A9C641419A3B}">
  <ds:schemaRefs>
    <ds:schemaRef ds:uri="http://schemas.microsoft.com/sharepoint/v3/contenttype/forms"/>
  </ds:schemaRefs>
</ds:datastoreItem>
</file>

<file path=customXml/itemProps2.xml><?xml version="1.0" encoding="utf-8"?>
<ds:datastoreItem xmlns:ds="http://schemas.openxmlformats.org/officeDocument/2006/customXml" ds:itemID="{5B78500D-A232-473D-9323-B5F9BB25933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C0F3CE86-51B7-4137-AE91-DD8AD4D70158}">
  <ds:schemaRefs>
    <ds:schemaRef ds:uri="http://schemas.openxmlformats.org/officeDocument/2006/bibliography"/>
  </ds:schemaRefs>
</ds:datastoreItem>
</file>

<file path=customXml/itemProps4.xml><?xml version="1.0" encoding="utf-8"?>
<ds:datastoreItem xmlns:ds="http://schemas.openxmlformats.org/officeDocument/2006/customXml" ds:itemID="{A3BB8769-E0A8-450B-A32F-AD36A1E546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Modern student report.dotx</Template>
  <TotalTime>493</TotalTime>
  <Pages>6</Pages>
  <Words>1439</Words>
  <Characters>8204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Bisser Todorov</dc:creator>
  <cp:keywords/>
  <dc:description/>
  <cp:lastModifiedBy>Bisser Todorov</cp:lastModifiedBy>
  <cp:revision>26</cp:revision>
  <dcterms:created xsi:type="dcterms:W3CDTF">2025-02-19T08:34:00Z</dcterms:created>
  <dcterms:modified xsi:type="dcterms:W3CDTF">2025-06-01T14:09:00Z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