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70604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00506" w:rsidRDefault="00A025F7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A025F7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B41655" w:rsidRPr="00D00506" w:rsidTr="00B41655">
        <w:tc>
          <w:tcPr>
            <w:tcW w:w="1312" w:type="dxa"/>
            <w:vMerge w:val="restart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2,17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4,51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5,46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1,88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6,01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B41655" w:rsidRP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1,91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Pr="00D00506" w:rsidRDefault="00B41655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6,08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B41655" w:rsidRPr="00D00506" w:rsidRDefault="00B41655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1,95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Pr="00D00506" w:rsidRDefault="00B41655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16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6,05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6,01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4,34104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6,02</w:t>
            </w:r>
          </w:p>
        </w:tc>
      </w:tr>
      <w:tr w:rsidR="00B41655" w:rsidRPr="00D00506" w:rsidTr="00B41655">
        <w:tc>
          <w:tcPr>
            <w:tcW w:w="1312" w:type="dxa"/>
            <w:vMerge w:val="restart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6,07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6,79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5,41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7,43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3,78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7,76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2,84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2,26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8,36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2,43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2,12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8,63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9,12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1,44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9,48</w:t>
            </w:r>
          </w:p>
        </w:tc>
      </w:tr>
      <w:tr w:rsidR="00B41655" w:rsidRPr="00D00506" w:rsidTr="00B41655">
        <w:tc>
          <w:tcPr>
            <w:tcW w:w="1312" w:type="dxa"/>
            <w:vMerge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B41655" w:rsidRPr="00D00506" w:rsidRDefault="00B41655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1,28</w:t>
            </w:r>
          </w:p>
        </w:tc>
        <w:tc>
          <w:tcPr>
            <w:tcW w:w="1718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17,22477</w:t>
            </w:r>
          </w:p>
        </w:tc>
        <w:tc>
          <w:tcPr>
            <w:tcW w:w="1116" w:type="dxa"/>
            <w:vAlign w:val="center"/>
          </w:tcPr>
          <w:p w:rsidR="00B41655" w:rsidRDefault="00B41655" w:rsidP="00B4165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9,65</w:t>
            </w:r>
          </w:p>
        </w:tc>
      </w:tr>
    </w:tbl>
    <w:p w:rsidR="00337716" w:rsidRDefault="00337716" w:rsidP="00337716">
      <w:pPr>
        <w:pStyle w:val="a3"/>
        <w:spacing w:before="240"/>
      </w:pPr>
      <w:r w:rsidRPr="00076975">
        <w:rPr>
          <w:color w:val="FF0000"/>
        </w:rPr>
        <w:t>Интервал значений СКО, соответствующий декодируемому изображению приемлемого качества данного типа: 0-85.</w:t>
      </w:r>
      <w:r>
        <w:t xml:space="preserve">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2</w:t>
      </w:r>
      <w:r w:rsidR="00076975">
        <w:t>0</w:t>
      </w:r>
      <w:r>
        <w:t xml:space="preserve">00.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472" w:type="dxa"/>
        <w:tblInd w:w="108" w:type="dxa"/>
        <w:tblLook w:val="04A0"/>
      </w:tblPr>
      <w:tblGrid>
        <w:gridCol w:w="1683"/>
        <w:gridCol w:w="1793"/>
        <w:gridCol w:w="1242"/>
        <w:gridCol w:w="633"/>
        <w:gridCol w:w="935"/>
        <w:gridCol w:w="1259"/>
        <w:gridCol w:w="1051"/>
        <w:gridCol w:w="876"/>
      </w:tblGrid>
      <w:tr w:rsidR="00337716" w:rsidRPr="005169D6" w:rsidTr="0068783C">
        <w:tc>
          <w:tcPr>
            <w:tcW w:w="131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70604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722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 w:rsidR="003508B8"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42,03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104,52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22,34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4,42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188,27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19,55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92,27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114,03</w:t>
            </w:r>
          </w:p>
        </w:tc>
        <w:tc>
          <w:tcPr>
            <w:tcW w:w="1718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  <w:r w:rsidR="0068783C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172,69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54,09</w:t>
            </w:r>
          </w:p>
        </w:tc>
        <w:tc>
          <w:tcPr>
            <w:tcW w:w="1718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76,88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207890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</w:t>
            </w:r>
            <w:r w:rsidR="0068783C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18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1052" w:type="dxa"/>
            <w:vAlign w:val="center"/>
          </w:tcPr>
          <w:p w:rsidR="00337716" w:rsidRPr="005169D6" w:rsidRDefault="0068783C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149,21</w:t>
            </w:r>
          </w:p>
        </w:tc>
      </w:tr>
      <w:tr w:rsidR="00337716" w:rsidRPr="005169D6" w:rsidTr="0068783C">
        <w:tc>
          <w:tcPr>
            <w:tcW w:w="1312" w:type="dxa"/>
            <w:vMerge w:val="restart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131,64</w:t>
            </w:r>
          </w:p>
        </w:tc>
        <w:tc>
          <w:tcPr>
            <w:tcW w:w="1718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2,04</w:t>
            </w:r>
          </w:p>
        </w:tc>
        <w:tc>
          <w:tcPr>
            <w:tcW w:w="105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120E8B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80,48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76,53</w:t>
            </w:r>
          </w:p>
        </w:tc>
        <w:tc>
          <w:tcPr>
            <w:tcW w:w="1718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74,06</w:t>
            </w:r>
          </w:p>
        </w:tc>
      </w:tr>
      <w:tr w:rsidR="00337716" w:rsidRPr="005169D6" w:rsidTr="0068783C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A025F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108,48</w:t>
            </w:r>
          </w:p>
        </w:tc>
        <w:tc>
          <w:tcPr>
            <w:tcW w:w="1718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105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722" w:type="dxa"/>
            <w:vAlign w:val="center"/>
          </w:tcPr>
          <w:p w:rsidR="00337716" w:rsidRPr="005169D6" w:rsidRDefault="0020789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99,62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времени</w:t>
      </w:r>
      <w:r w:rsidR="00566F58">
        <w:t xml:space="preserve"> сжатия является алгоритм А</w:t>
      </w:r>
      <w:proofErr w:type="gramStart"/>
      <w:r w:rsidR="00566F58">
        <w:t>1</w:t>
      </w:r>
      <w:proofErr w:type="gramEnd"/>
      <w:r w:rsidR="00566F58">
        <w:t>, а с точки зрения качества декодируемого изображения – алгоритм А2 с классификацией ЦМ</w:t>
      </w:r>
      <w:r>
        <w:t>.</w:t>
      </w:r>
    </w:p>
    <w:p w:rsidR="00337716" w:rsidRDefault="0072472D" w:rsidP="00337716">
      <w:pPr>
        <w:pStyle w:val="a3"/>
      </w:pPr>
      <w:r w:rsidRPr="0072472D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</w:t>
      </w:r>
      <w:r w:rsidR="008C7F15">
        <w:t>времени</w:t>
      </w:r>
      <w:r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70604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130,44</w:t>
            </w:r>
          </w:p>
        </w:tc>
        <w:tc>
          <w:tcPr>
            <w:tcW w:w="1718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4,64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109,84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46129E" w:rsidP="0046129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  <w:r w:rsidR="000A13C6"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122,08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4,29</w:t>
            </w:r>
          </w:p>
        </w:tc>
        <w:tc>
          <w:tcPr>
            <w:tcW w:w="1116" w:type="dxa"/>
            <w:vAlign w:val="center"/>
          </w:tcPr>
          <w:p w:rsidR="00337716" w:rsidRPr="00C465E1" w:rsidRDefault="000A13C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146,075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для метода эталонного блока: </w:t>
      </w:r>
      <w:r w:rsidRPr="00827149">
        <w:rPr>
          <w:color w:val="FF0000"/>
        </w:rPr>
        <w:t>0-60</w:t>
      </w:r>
      <w:r>
        <w:t>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="0046129E">
        <w:t>20</w:t>
      </w:r>
      <w:r>
        <w:t>00.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366"/>
        <w:gridCol w:w="1469"/>
        <w:gridCol w:w="1242"/>
        <w:gridCol w:w="632"/>
        <w:gridCol w:w="999"/>
        <w:gridCol w:w="1718"/>
        <w:gridCol w:w="1050"/>
        <w:gridCol w:w="880"/>
      </w:tblGrid>
      <w:tr w:rsidR="00337716" w:rsidRPr="005169D6" w:rsidTr="0046129E">
        <w:tc>
          <w:tcPr>
            <w:tcW w:w="1366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70604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46129E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80" w:type="dxa"/>
            <w:vAlign w:val="center"/>
          </w:tcPr>
          <w:p w:rsidR="00337716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46129E" w:rsidRPr="005169D6" w:rsidTr="0046129E">
        <w:tc>
          <w:tcPr>
            <w:tcW w:w="1366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114,03</w:t>
            </w:r>
          </w:p>
        </w:tc>
        <w:tc>
          <w:tcPr>
            <w:tcW w:w="1718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8,19</w:t>
            </w:r>
          </w:p>
        </w:tc>
        <w:tc>
          <w:tcPr>
            <w:tcW w:w="88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172,69</w:t>
            </w:r>
          </w:p>
        </w:tc>
      </w:tr>
      <w:tr w:rsidR="0046129E" w:rsidRPr="005169D6" w:rsidTr="0046129E">
        <w:tc>
          <w:tcPr>
            <w:tcW w:w="1366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46129E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54,09</w:t>
            </w:r>
          </w:p>
        </w:tc>
        <w:tc>
          <w:tcPr>
            <w:tcW w:w="1718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05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88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76,88</w:t>
            </w:r>
          </w:p>
        </w:tc>
      </w:tr>
      <w:tr w:rsidR="0046129E" w:rsidRPr="005169D6" w:rsidTr="0046129E">
        <w:tc>
          <w:tcPr>
            <w:tcW w:w="1366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469" w:type="dxa"/>
            <w:vAlign w:val="center"/>
          </w:tcPr>
          <w:p w:rsidR="0046129E" w:rsidRPr="005169D6" w:rsidRDefault="00A025F7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46129E" w:rsidRPr="005169D6" w:rsidRDefault="0046129E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19,55</w:t>
            </w:r>
          </w:p>
        </w:tc>
        <w:tc>
          <w:tcPr>
            <w:tcW w:w="1718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105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80" w:type="dxa"/>
            <w:vAlign w:val="center"/>
          </w:tcPr>
          <w:p w:rsidR="0046129E" w:rsidRPr="005169D6" w:rsidRDefault="0046129E" w:rsidP="00306BB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92,27</w:t>
            </w:r>
          </w:p>
        </w:tc>
      </w:tr>
      <w:tr w:rsidR="00337716" w:rsidRPr="005169D6" w:rsidTr="0046129E">
        <w:tc>
          <w:tcPr>
            <w:tcW w:w="1366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46129E" w:rsidP="0046129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</w:t>
            </w:r>
            <w:r w:rsidR="0033771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18" w:type="dxa"/>
            <w:vAlign w:val="center"/>
          </w:tcPr>
          <w:p w:rsidR="00337716" w:rsidRPr="005169D6" w:rsidRDefault="0046129E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0A13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1,81</w:t>
            </w:r>
          </w:p>
        </w:tc>
        <w:tc>
          <w:tcPr>
            <w:tcW w:w="1050" w:type="dxa"/>
            <w:vAlign w:val="center"/>
          </w:tcPr>
          <w:p w:rsidR="00337716" w:rsidRPr="00C465E1" w:rsidRDefault="0046129E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4,69</w:t>
            </w:r>
          </w:p>
        </w:tc>
        <w:tc>
          <w:tcPr>
            <w:tcW w:w="880" w:type="dxa"/>
            <w:vAlign w:val="center"/>
          </w:tcPr>
          <w:p w:rsidR="00337716" w:rsidRDefault="0046129E" w:rsidP="0046129E">
            <w:pPr>
              <w:autoSpaceDE w:val="0"/>
              <w:autoSpaceDN w:val="0"/>
              <w:adjustRightInd w:val="0"/>
              <w:ind w:left="-261" w:firstLine="2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122,08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</w:t>
      </w:r>
      <w:r w:rsidR="00A8492D">
        <w:t>и метод эталонного блока, и использование классификации ЦМ с алгоритмом А</w:t>
      </w:r>
      <w:proofErr w:type="gramStart"/>
      <w:r w:rsidR="00A8492D">
        <w:t>2</w:t>
      </w:r>
      <w:proofErr w:type="gramEnd"/>
      <w:r w:rsidR="00A8492D">
        <w:t xml:space="preserve"> приводят к  улучшению как времени сжатия, так и качества декодируемого изображения. По сравнению с А</w:t>
      </w:r>
      <w:proofErr w:type="gramStart"/>
      <w:r w:rsidR="00A8492D">
        <w:t>2</w:t>
      </w:r>
      <w:proofErr w:type="gramEnd"/>
      <w:r w:rsidR="00A8492D">
        <w:t xml:space="preserve"> (ЦМ) использование алгоритма А1 с классификацией РГЗ </w:t>
      </w:r>
      <w:r w:rsidR="00A8492D">
        <w:lastRenderedPageBreak/>
        <w:t>дает выигрыш по времени, но немного ухудшает кач</w:t>
      </w:r>
      <w:r w:rsidR="00E104FA">
        <w:t>е</w:t>
      </w:r>
      <w:r w:rsidR="00A8492D">
        <w:t>ство декодируемого изображения.</w:t>
      </w:r>
    </w:p>
    <w:p w:rsidR="00337716" w:rsidRDefault="00A8492D" w:rsidP="00337716">
      <w:pPr>
        <w:pStyle w:val="a3"/>
      </w:pPr>
      <w:r w:rsidRPr="00A8492D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8C7F15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41C"/>
    <w:rsid w:val="00076975"/>
    <w:rsid w:val="000A13C6"/>
    <w:rsid w:val="00120E8B"/>
    <w:rsid w:val="001375B8"/>
    <w:rsid w:val="00207890"/>
    <w:rsid w:val="00337716"/>
    <w:rsid w:val="003508B8"/>
    <w:rsid w:val="0046129E"/>
    <w:rsid w:val="00566F58"/>
    <w:rsid w:val="0068783C"/>
    <w:rsid w:val="006F05C0"/>
    <w:rsid w:val="00706046"/>
    <w:rsid w:val="0072472D"/>
    <w:rsid w:val="007A4D25"/>
    <w:rsid w:val="00827149"/>
    <w:rsid w:val="008C7F15"/>
    <w:rsid w:val="00A025F7"/>
    <w:rsid w:val="00A8492D"/>
    <w:rsid w:val="00B41655"/>
    <w:rsid w:val="00B63849"/>
    <w:rsid w:val="00C222AA"/>
    <w:rsid w:val="00C277C5"/>
    <w:rsid w:val="00C75C95"/>
    <w:rsid w:val="00E1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'мало деталей'!$C$411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'мало деталей'!$D$411:$F$411</c:f>
              <c:numCache>
                <c:formatCode>General</c:formatCode>
                <c:ptCount val="3"/>
                <c:pt idx="0">
                  <c:v>42.03</c:v>
                </c:pt>
                <c:pt idx="1">
                  <c:v>22.34</c:v>
                </c:pt>
                <c:pt idx="2">
                  <c:v>19.55</c:v>
                </c:pt>
              </c:numCache>
            </c:numRef>
          </c:val>
        </c:ser>
        <c:ser>
          <c:idx val="1"/>
          <c:order val="1"/>
          <c:tx>
            <c:strRef>
              <c:f>'мало деталей'!$C$412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'мало деталей'!$D$412:$F$412</c:f>
              <c:numCache>
                <c:formatCode>General</c:formatCode>
                <c:ptCount val="3"/>
                <c:pt idx="0">
                  <c:v>114.03</c:v>
                </c:pt>
                <c:pt idx="1">
                  <c:v>54.09</c:v>
                </c:pt>
                <c:pt idx="2">
                  <c:v>51.03</c:v>
                </c:pt>
              </c:numCache>
            </c:numRef>
          </c:val>
        </c:ser>
        <c:ser>
          <c:idx val="2"/>
          <c:order val="2"/>
          <c:tx>
            <c:strRef>
              <c:f>'мало деталей'!$C$413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'мало деталей'!$D$410:$F$410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'мало деталей'!$D$413:$F$413</c:f>
              <c:numCache>
                <c:formatCode>General</c:formatCode>
                <c:ptCount val="3"/>
                <c:pt idx="0">
                  <c:v>131.63999999999999</c:v>
                </c:pt>
                <c:pt idx="1">
                  <c:v>76.53</c:v>
                </c:pt>
                <c:pt idx="2">
                  <c:v>108.48</c:v>
                </c:pt>
              </c:numCache>
            </c:numRef>
          </c:val>
        </c:ser>
        <c:axId val="101663872"/>
        <c:axId val="101673216"/>
      </c:barChart>
      <c:catAx>
        <c:axId val="101663872"/>
        <c:scaling>
          <c:orientation val="minMax"/>
        </c:scaling>
        <c:axPos val="b"/>
        <c:tickLblPos val="nextTo"/>
        <c:crossAx val="101673216"/>
        <c:crosses val="autoZero"/>
        <c:auto val="1"/>
        <c:lblAlgn val="ctr"/>
        <c:lblOffset val="100"/>
      </c:catAx>
      <c:valAx>
        <c:axId val="101673216"/>
        <c:scaling>
          <c:orientation val="minMax"/>
        </c:scaling>
        <c:axPos val="l"/>
        <c:majorGridlines/>
        <c:numFmt formatCode="General" sourceLinked="1"/>
        <c:tickLblPos val="nextTo"/>
        <c:crossAx val="101663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'мало деталей'!$C$459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'мало деталей'!$D$458:$G$458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А1+РГЗ</c:v>
                </c:pt>
              </c:strCache>
            </c:strRef>
          </c:cat>
          <c:val>
            <c:numRef>
              <c:f>'мало деталей'!$D$459:$G$459</c:f>
              <c:numCache>
                <c:formatCode>General</c:formatCode>
                <c:ptCount val="4"/>
                <c:pt idx="0">
                  <c:v>114.03</c:v>
                </c:pt>
                <c:pt idx="1">
                  <c:v>54.09</c:v>
                </c:pt>
                <c:pt idx="2">
                  <c:v>73.149999999999991</c:v>
                </c:pt>
                <c:pt idx="3">
                  <c:v>19.55</c:v>
                </c:pt>
              </c:numCache>
            </c:numRef>
          </c:val>
        </c:ser>
        <c:axId val="101756928"/>
        <c:axId val="101758848"/>
      </c:barChart>
      <c:lineChart>
        <c:grouping val="standard"/>
        <c:ser>
          <c:idx val="1"/>
          <c:order val="1"/>
          <c:tx>
            <c:strRef>
              <c:f>'мало деталей'!$C$460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'мало деталей'!$D$458:$G$458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А1+РГЗ</c:v>
                </c:pt>
              </c:strCache>
            </c:strRef>
          </c:cat>
          <c:val>
            <c:numRef>
              <c:f>'мало деталей'!$D$460:$G$460</c:f>
              <c:numCache>
                <c:formatCode>General</c:formatCode>
                <c:ptCount val="4"/>
                <c:pt idx="0">
                  <c:v>172.69</c:v>
                </c:pt>
                <c:pt idx="1">
                  <c:v>76.88</c:v>
                </c:pt>
                <c:pt idx="2">
                  <c:v>122.08</c:v>
                </c:pt>
                <c:pt idx="3">
                  <c:v>92.27</c:v>
                </c:pt>
              </c:numCache>
            </c:numRef>
          </c:val>
        </c:ser>
        <c:marker val="1"/>
        <c:axId val="102187008"/>
        <c:axId val="101767424"/>
      </c:lineChart>
      <c:catAx>
        <c:axId val="101756928"/>
        <c:scaling>
          <c:orientation val="minMax"/>
        </c:scaling>
        <c:axPos val="b"/>
        <c:tickLblPos val="nextTo"/>
        <c:crossAx val="101758848"/>
        <c:crosses val="autoZero"/>
        <c:auto val="1"/>
        <c:lblAlgn val="ctr"/>
        <c:lblOffset val="100"/>
      </c:catAx>
      <c:valAx>
        <c:axId val="101758848"/>
        <c:scaling>
          <c:orientation val="minMax"/>
        </c:scaling>
        <c:axPos val="l"/>
        <c:majorGridlines/>
        <c:numFmt formatCode="General" sourceLinked="1"/>
        <c:tickLblPos val="nextTo"/>
        <c:crossAx val="101756928"/>
        <c:crosses val="autoZero"/>
        <c:crossBetween val="between"/>
      </c:valAx>
      <c:valAx>
        <c:axId val="101767424"/>
        <c:scaling>
          <c:orientation val="minMax"/>
        </c:scaling>
        <c:axPos val="r"/>
        <c:numFmt formatCode="General" sourceLinked="1"/>
        <c:tickLblPos val="nextTo"/>
        <c:crossAx val="102187008"/>
        <c:crosses val="max"/>
        <c:crossBetween val="between"/>
      </c:valAx>
      <c:catAx>
        <c:axId val="102187008"/>
        <c:scaling>
          <c:orientation val="minMax"/>
        </c:scaling>
        <c:delete val="1"/>
        <c:axPos val="b"/>
        <c:tickLblPos val="none"/>
        <c:crossAx val="101767424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2018-04-27T14:10:00Z</dcterms:created>
  <dcterms:modified xsi:type="dcterms:W3CDTF">2018-05-09T16:06:00Z</dcterms:modified>
</cp:coreProperties>
</file>