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 xml:space="preserve">В данном разделе исследования проводятся над набором изображений в оттенках серого, </w:t>
      </w:r>
      <w:proofErr w:type="gramStart"/>
      <w:r>
        <w:t>размером</w:t>
      </w:r>
      <w:proofErr w:type="gramEnd"/>
      <w:r w:rsidR="001B4D37">
        <w:t xml:space="preserve"> превышающим</w:t>
      </w:r>
      <w:r>
        <w:t xml:space="preserve"> 160</w:t>
      </w:r>
      <w:r>
        <w:sym w:font="Symbol" w:char="F0B4"/>
      </w:r>
      <w:r>
        <w:t>160 пикселей</w:t>
      </w:r>
      <w:r w:rsidR="001B4D37">
        <w:t xml:space="preserve"> и над изображениями не квадратной формы</w:t>
      </w:r>
      <w:r>
        <w:t xml:space="preserve">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 w:rsidR="003F4EB6">
        <w:rPr>
          <w:rFonts w:eastAsia="TimesNewRomanPSMT"/>
        </w:rPr>
        <w:t>параметров компресс</w:t>
      </w:r>
      <w:r w:rsidR="001B4D37">
        <w:rPr>
          <w:rFonts w:eastAsia="TimesNewRomanPSMT"/>
        </w:rPr>
        <w:t>ии и декомпрессии от выбранного подхода</w:t>
      </w:r>
      <w:r w:rsidR="003F4EB6">
        <w:rPr>
          <w:rFonts w:eastAsia="TimesNewRomanPSMT"/>
        </w:rPr>
        <w:t xml:space="preserve"> и параметров сжатия</w:t>
      </w:r>
      <w:r w:rsidR="001B4D37">
        <w:rPr>
          <w:rFonts w:eastAsia="TimesNewRomanPSMT"/>
        </w:rPr>
        <w:t xml:space="preserve"> для изображения размером 120</w:t>
      </w:r>
      <w:r w:rsidR="001B4D37">
        <w:rPr>
          <w:rFonts w:eastAsia="TimesNewRomanPSMT"/>
        </w:rPr>
        <w:sym w:font="Symbol" w:char="F0B4"/>
      </w:r>
      <w:r w:rsidR="001B4D37">
        <w:rPr>
          <w:rFonts w:eastAsia="TimesNewRomanPSMT"/>
        </w:rPr>
        <w:t>200 пикселей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t xml:space="preserve"> (120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1B4D37">
        <w:rPr>
          <w:rFonts w:ascii="Times New Roman" w:eastAsia="TimesNewRomanPSMT" w:hAnsi="Times New Roman" w:cs="Times New Roman"/>
          <w:sz w:val="28"/>
          <w:szCs w:val="28"/>
        </w:rPr>
        <w:t>200)</w:t>
      </w:r>
    </w:p>
    <w:tbl>
      <w:tblPr>
        <w:tblStyle w:val="a5"/>
        <w:tblW w:w="9686" w:type="dxa"/>
        <w:tblInd w:w="108" w:type="dxa"/>
        <w:tblLook w:val="04A0"/>
      </w:tblPr>
      <w:tblGrid>
        <w:gridCol w:w="1366"/>
        <w:gridCol w:w="1793"/>
        <w:gridCol w:w="1242"/>
        <w:gridCol w:w="696"/>
        <w:gridCol w:w="999"/>
        <w:gridCol w:w="1718"/>
        <w:gridCol w:w="1116"/>
        <w:gridCol w:w="756"/>
      </w:tblGrid>
      <w:tr w:rsidR="00337716" w:rsidRPr="000703AC" w:rsidTr="003F1254">
        <w:tc>
          <w:tcPr>
            <w:tcW w:w="1366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0703AC" w:rsidRDefault="00337716" w:rsidP="000703A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96" w:type="dxa"/>
            <w:vAlign w:val="center"/>
          </w:tcPr>
          <w:p w:rsidR="00337716" w:rsidRPr="000703AC" w:rsidRDefault="00337716" w:rsidP="003F1254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0703AC" w:rsidRDefault="00337716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0703AC" w:rsidRPr="000703AC" w:rsidTr="003F1254">
        <w:tc>
          <w:tcPr>
            <w:tcW w:w="1366" w:type="dxa"/>
            <w:vMerge w:val="restart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7,38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4,36646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43,55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6,21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76,4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4,58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43,24</w:t>
            </w:r>
          </w:p>
        </w:tc>
      </w:tr>
      <w:tr w:rsidR="000703AC" w:rsidRPr="000703AC" w:rsidTr="003F1254">
        <w:tc>
          <w:tcPr>
            <w:tcW w:w="1366" w:type="dxa"/>
            <w:vMerge w:val="restart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153,03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6,695238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71,67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51,1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6,570093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83,02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ind w:left="-11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63,06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6,333333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32,39</w:t>
            </w:r>
          </w:p>
        </w:tc>
      </w:tr>
      <w:tr w:rsidR="000703AC" w:rsidRPr="000703AC" w:rsidTr="003F1254">
        <w:tc>
          <w:tcPr>
            <w:tcW w:w="1366" w:type="dxa"/>
            <w:vMerge w:val="restart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autoSpaceDE w:val="0"/>
              <w:autoSpaceDN w:val="0"/>
              <w:adjustRightInd w:val="0"/>
              <w:ind w:left="-114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110,45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19,93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autoSpaceDE w:val="0"/>
              <w:autoSpaceDN w:val="0"/>
              <w:adjustRightInd w:val="0"/>
              <w:ind w:left="-114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56,47</w:t>
            </w:r>
          </w:p>
        </w:tc>
      </w:tr>
      <w:tr w:rsidR="000703AC" w:rsidRPr="000703AC" w:rsidTr="003F1254">
        <w:tc>
          <w:tcPr>
            <w:tcW w:w="1366" w:type="dxa"/>
            <w:vMerge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autoSpaceDE w:val="0"/>
              <w:autoSpaceDN w:val="0"/>
              <w:adjustRightInd w:val="0"/>
              <w:ind w:left="-114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77,56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25,41</w:t>
            </w:r>
          </w:p>
        </w:tc>
      </w:tr>
      <w:tr w:rsidR="000703AC" w:rsidRPr="000703AC" w:rsidTr="003F1254">
        <w:tc>
          <w:tcPr>
            <w:tcW w:w="1366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703AC" w:rsidRPr="000703AC" w:rsidRDefault="000703AC" w:rsidP="000703A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0703AC" w:rsidRPr="000703AC" w:rsidRDefault="000703AC" w:rsidP="003F1254">
            <w:pPr>
              <w:autoSpaceDE w:val="0"/>
              <w:autoSpaceDN w:val="0"/>
              <w:adjustRightInd w:val="0"/>
              <w:ind w:left="-114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703AC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64,04</w:t>
            </w:r>
          </w:p>
        </w:tc>
        <w:tc>
          <w:tcPr>
            <w:tcW w:w="1718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4,50641</w:t>
            </w:r>
          </w:p>
        </w:tc>
        <w:tc>
          <w:tcPr>
            <w:tcW w:w="756" w:type="dxa"/>
            <w:vAlign w:val="center"/>
          </w:tcPr>
          <w:p w:rsidR="000703AC" w:rsidRPr="000703AC" w:rsidRDefault="000703AC" w:rsidP="00070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39,04</w:t>
            </w:r>
          </w:p>
        </w:tc>
      </w:tr>
    </w:tbl>
    <w:p w:rsidR="00337716" w:rsidRDefault="000E62E3" w:rsidP="000E62E3">
      <w:pPr>
        <w:pStyle w:val="a3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0E62E3" w:rsidRPr="000E62E3" w:rsidRDefault="000E62E3" w:rsidP="000E62E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(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304)</w:t>
      </w:r>
    </w:p>
    <w:tbl>
      <w:tblPr>
        <w:tblStyle w:val="a5"/>
        <w:tblW w:w="9692" w:type="dxa"/>
        <w:tblInd w:w="108" w:type="dxa"/>
        <w:tblLayout w:type="fixed"/>
        <w:tblLook w:val="04A0"/>
      </w:tblPr>
      <w:tblGrid>
        <w:gridCol w:w="1366"/>
        <w:gridCol w:w="1793"/>
        <w:gridCol w:w="1242"/>
        <w:gridCol w:w="702"/>
        <w:gridCol w:w="999"/>
        <w:gridCol w:w="1718"/>
        <w:gridCol w:w="1116"/>
        <w:gridCol w:w="756"/>
      </w:tblGrid>
      <w:tr w:rsidR="000E62E3" w:rsidRPr="000E62E3" w:rsidTr="003F1254">
        <w:tc>
          <w:tcPr>
            <w:tcW w:w="1366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0E62E3" w:rsidRPr="000E62E3" w:rsidTr="003F1254">
        <w:tc>
          <w:tcPr>
            <w:tcW w:w="1366" w:type="dxa"/>
            <w:vMerge w:val="restart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58,08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4,383117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52,73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46,41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4,347826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44,11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31,51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4,376013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44,67</w:t>
            </w:r>
          </w:p>
        </w:tc>
      </w:tr>
      <w:tr w:rsidR="000E62E3" w:rsidRPr="000E62E3" w:rsidTr="003F1254">
        <w:tc>
          <w:tcPr>
            <w:tcW w:w="1366" w:type="dxa"/>
            <w:vMerge w:val="restart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1225,97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8,206687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55,06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652,19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7,894737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29,06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763,43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7,848837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26,69</w:t>
            </w:r>
          </w:p>
        </w:tc>
      </w:tr>
      <w:tr w:rsidR="000E62E3" w:rsidRPr="000E62E3" w:rsidTr="003F1254">
        <w:tc>
          <w:tcPr>
            <w:tcW w:w="1366" w:type="dxa"/>
            <w:vMerge w:val="restart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1758,11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4,354839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18,74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911,24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4,354839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21,94</w:t>
            </w:r>
          </w:p>
        </w:tc>
      </w:tr>
      <w:tr w:rsidR="000E62E3" w:rsidRPr="000E62E3" w:rsidTr="003F1254">
        <w:tc>
          <w:tcPr>
            <w:tcW w:w="1366" w:type="dxa"/>
            <w:vMerge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1424,73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4,354839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21,86</w:t>
            </w:r>
          </w:p>
        </w:tc>
      </w:tr>
      <w:tr w:rsidR="000E62E3" w:rsidRPr="000E62E3" w:rsidTr="003F1254">
        <w:tc>
          <w:tcPr>
            <w:tcW w:w="1366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0E62E3" w:rsidRPr="000E62E3" w:rsidRDefault="000E62E3" w:rsidP="000E62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E62E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765,78</w:t>
            </w:r>
          </w:p>
        </w:tc>
        <w:tc>
          <w:tcPr>
            <w:tcW w:w="1718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4,703833</w:t>
            </w:r>
          </w:p>
        </w:tc>
        <w:tc>
          <w:tcPr>
            <w:tcW w:w="756" w:type="dxa"/>
            <w:vAlign w:val="center"/>
          </w:tcPr>
          <w:p w:rsidR="000E62E3" w:rsidRPr="000E62E3" w:rsidRDefault="000E62E3" w:rsidP="000E62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6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38,51</w:t>
            </w:r>
          </w:p>
        </w:tc>
      </w:tr>
    </w:tbl>
    <w:p w:rsidR="000E62E3" w:rsidRDefault="001235AC" w:rsidP="000E62E3">
      <w:pPr>
        <w:pStyle w:val="a3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673F58" w:rsidRDefault="00673F58" w:rsidP="00673F58">
      <w:pPr>
        <w:pStyle w:val="a3"/>
      </w:pPr>
      <w:r>
        <w:t xml:space="preserve">Как видно из рисунков </w:t>
      </w:r>
      <w:r w:rsidRPr="00673F58">
        <w:rPr>
          <w:color w:val="FF0000"/>
        </w:rPr>
        <w:t>11</w:t>
      </w:r>
      <w:r>
        <w:t xml:space="preserve">, </w:t>
      </w:r>
      <w:r w:rsidRPr="00673F58">
        <w:rPr>
          <w:color w:val="FF0000"/>
        </w:rPr>
        <w:t>22</w:t>
      </w:r>
      <w:r>
        <w:t xml:space="preserve"> и </w:t>
      </w:r>
      <w:r w:rsidRPr="00673F58">
        <w:rPr>
          <w:color w:val="FF0000"/>
        </w:rPr>
        <w:t>33</w:t>
      </w:r>
      <w:r>
        <w:t>, в случае изменения пропорций изображения, или его размера, тенденция уменьшения времени выполнения алгоритмов алгоритмов А1, А2 и Б, при использовании классификаций сохраняется</w:t>
      </w:r>
      <w:r w:rsidR="00384D12">
        <w:t xml:space="preserve">. При этом эффективность классификаций зависит от содержимого изображения: нельзя однозначно выявить преобладание классификации центром масс </w:t>
      </w:r>
      <w:proofErr w:type="gramStart"/>
      <w:r w:rsidR="00384D12">
        <w:t>над</w:t>
      </w:r>
      <w:proofErr w:type="gramEnd"/>
      <w:r w:rsidR="00384D12">
        <w:t xml:space="preserve"> </w:t>
      </w:r>
      <w:proofErr w:type="gramStart"/>
      <w:r w:rsidR="00384D12">
        <w:t>классификации</w:t>
      </w:r>
      <w:proofErr w:type="gramEnd"/>
      <w:r w:rsidR="00384D12">
        <w:t xml:space="preserve"> разницей граничных значений (или наоборот)</w:t>
      </w:r>
      <w:r>
        <w:t>. Наилучшее качество декодируемого изображения предостав</w:t>
      </w:r>
      <w:r w:rsidR="00384D12">
        <w:t>ляет использование алгоритма</w:t>
      </w:r>
      <w:proofErr w:type="gramStart"/>
      <w:r w:rsidR="00384D12">
        <w:t xml:space="preserve"> Б</w:t>
      </w:r>
      <w:proofErr w:type="gramEnd"/>
      <w:r w:rsidR="00384D12">
        <w:t xml:space="preserve">, который не всегда является наиболее быстрым. </w:t>
      </w:r>
      <w:r w:rsidR="00C15B1C">
        <w:t>Метод эталонного блока дает преимущество как по времени, так и по качеству декодируемого изображения, по сравнению с примененным без классификаций  алгоритмом А</w:t>
      </w:r>
      <w:proofErr w:type="gramStart"/>
      <w:r w:rsidR="00C15B1C">
        <w:t>2</w:t>
      </w:r>
      <w:proofErr w:type="gramEnd"/>
      <w:r w:rsidR="00C15B1C"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337716" w:rsidRDefault="00673F58" w:rsidP="00337716">
      <w:pPr>
        <w:pStyle w:val="a3"/>
      </w:pPr>
      <w:r w:rsidRPr="00673F58">
        <w:lastRenderedPageBreak/>
        <w:drawing>
          <wp:inline distT="0" distB="0" distL="0" distR="0">
            <wp:extent cx="4567621" cy="2351314"/>
            <wp:effectExtent l="19050" t="0" r="23429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="002A0EAE">
        <w:rPr>
          <w:color w:val="FF0000"/>
        </w:rPr>
        <w:t>11</w:t>
      </w:r>
      <w:r>
        <w:t xml:space="preserve"> – Зависимость </w:t>
      </w:r>
      <w:r w:rsidR="002A0EAE">
        <w:t>параметров компрессии и декомпрессии от примененного метода (размер изображения 160</w:t>
      </w:r>
      <w:r w:rsidR="002A0EAE">
        <w:sym w:font="Symbol" w:char="F0B4"/>
      </w:r>
      <w:r w:rsidR="002A0EAE">
        <w:t>160)</w:t>
      </w:r>
    </w:p>
    <w:p w:rsidR="002A0EAE" w:rsidRDefault="00F95546" w:rsidP="00337716">
      <w:pPr>
        <w:pStyle w:val="a3"/>
      </w:pPr>
      <w:r w:rsidRPr="00F95546">
        <w:drawing>
          <wp:inline distT="0" distB="0" distL="0" distR="0">
            <wp:extent cx="4567621" cy="2220686"/>
            <wp:effectExtent l="19050" t="0" r="23429" b="8164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A0EAE" w:rsidRDefault="002A0EAE" w:rsidP="002A0EAE">
      <w:pPr>
        <w:pStyle w:val="a3"/>
      </w:pPr>
      <w:r>
        <w:t xml:space="preserve">Рисунок </w:t>
      </w:r>
      <w:r>
        <w:rPr>
          <w:color w:val="FF0000"/>
        </w:rPr>
        <w:t>22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2A0EAE" w:rsidRDefault="004B7D3A" w:rsidP="00337716">
      <w:pPr>
        <w:pStyle w:val="a3"/>
      </w:pPr>
      <w:r w:rsidRPr="004B7D3A">
        <w:drawing>
          <wp:inline distT="0" distB="0" distL="0" distR="0">
            <wp:extent cx="4569526" cy="2541319"/>
            <wp:effectExtent l="19050" t="0" r="21524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22AA" w:rsidRDefault="002A0EAE" w:rsidP="000C0441">
      <w:pPr>
        <w:pStyle w:val="a3"/>
      </w:pPr>
      <w:r>
        <w:t xml:space="preserve">Рисунок </w:t>
      </w:r>
      <w:r>
        <w:rPr>
          <w:color w:val="FF0000"/>
        </w:rPr>
        <w:t>33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3AC"/>
    <w:rsid w:val="00070D12"/>
    <w:rsid w:val="0007522D"/>
    <w:rsid w:val="000C0441"/>
    <w:rsid w:val="000E62E3"/>
    <w:rsid w:val="001235AC"/>
    <w:rsid w:val="00197186"/>
    <w:rsid w:val="001B4D37"/>
    <w:rsid w:val="002A0EAE"/>
    <w:rsid w:val="00337716"/>
    <w:rsid w:val="00384D12"/>
    <w:rsid w:val="003F1254"/>
    <w:rsid w:val="003F4EB6"/>
    <w:rsid w:val="004B7D3A"/>
    <w:rsid w:val="00673F58"/>
    <w:rsid w:val="00B9619A"/>
    <w:rsid w:val="00BC643B"/>
    <w:rsid w:val="00C15B1C"/>
    <w:rsid w:val="00C222AA"/>
    <w:rsid w:val="00F9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размеры'!$Q$19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multiLvlStrRef>
              <c:f>'разные размеры'!$O$20:$P$29</c:f>
              <c:multiLvlStrCache>
                <c:ptCount val="10"/>
                <c:lvl>
                  <c:pt idx="0">
                    <c:v>-</c:v>
                  </c:pt>
                  <c:pt idx="1">
                    <c:v>ЦМ</c:v>
                  </c:pt>
                  <c:pt idx="2">
                    <c:v>РГЗ</c:v>
                  </c:pt>
                  <c:pt idx="3">
                    <c:v>-</c:v>
                  </c:pt>
                  <c:pt idx="4">
                    <c:v>ЦМ</c:v>
                  </c:pt>
                  <c:pt idx="5">
                    <c:v>РГЗ</c:v>
                  </c:pt>
                  <c:pt idx="6">
                    <c:v>-</c:v>
                  </c:pt>
                  <c:pt idx="7">
                    <c:v>ЦМ</c:v>
                  </c:pt>
                  <c:pt idx="8">
                    <c:v>РГЗ</c:v>
                  </c:pt>
                  <c:pt idx="9">
                    <c:v>-</c:v>
                  </c:pt>
                </c:lvl>
                <c:lvl>
                  <c:pt idx="0">
                    <c:v>А1</c:v>
                  </c:pt>
                  <c:pt idx="1">
                    <c:v>А1</c:v>
                  </c:pt>
                  <c:pt idx="2">
                    <c:v>А1</c:v>
                  </c:pt>
                  <c:pt idx="3">
                    <c:v>А2</c:v>
                  </c:pt>
                  <c:pt idx="4">
                    <c:v>А2</c:v>
                  </c:pt>
                  <c:pt idx="5">
                    <c:v>А2</c:v>
                  </c:pt>
                  <c:pt idx="6">
                    <c:v>Б</c:v>
                  </c:pt>
                  <c:pt idx="7">
                    <c:v>Б</c:v>
                  </c:pt>
                  <c:pt idx="8">
                    <c:v>Б</c:v>
                  </c:pt>
                  <c:pt idx="9">
                    <c:v>Эталон</c:v>
                  </c:pt>
                </c:lvl>
              </c:multiLvlStrCache>
            </c:multiLvlStrRef>
          </c:cat>
          <c:val>
            <c:numRef>
              <c:f>'разные размеры'!$Q$20:$Q$29</c:f>
              <c:numCache>
                <c:formatCode>General</c:formatCode>
                <c:ptCount val="10"/>
                <c:pt idx="0">
                  <c:v>22.110000000000003</c:v>
                </c:pt>
                <c:pt idx="1">
                  <c:v>19.110000000000003</c:v>
                </c:pt>
                <c:pt idx="2">
                  <c:v>15.229999999999999</c:v>
                </c:pt>
                <c:pt idx="3">
                  <c:v>190.46</c:v>
                </c:pt>
                <c:pt idx="4">
                  <c:v>72.959999999999994</c:v>
                </c:pt>
                <c:pt idx="5">
                  <c:v>74.430000000000007</c:v>
                </c:pt>
                <c:pt idx="6">
                  <c:v>27.75</c:v>
                </c:pt>
                <c:pt idx="7">
                  <c:v>11.68</c:v>
                </c:pt>
                <c:pt idx="8">
                  <c:v>7.6599999999999993</c:v>
                </c:pt>
                <c:pt idx="9">
                  <c:v>83.26</c:v>
                </c:pt>
              </c:numCache>
            </c:numRef>
          </c:val>
        </c:ser>
        <c:axId val="99422208"/>
        <c:axId val="99423744"/>
      </c:barChart>
      <c:lineChart>
        <c:grouping val="standard"/>
        <c:ser>
          <c:idx val="1"/>
          <c:order val="1"/>
          <c:tx>
            <c:strRef>
              <c:f>'разные размеры'!$R$19</c:f>
              <c:strCache>
                <c:ptCount val="1"/>
                <c:pt idx="0">
                  <c:v>СКО</c:v>
                </c:pt>
              </c:strCache>
            </c:strRef>
          </c:tx>
          <c:val>
            <c:numRef>
              <c:f>'разные размеры'!$R$20:$R$29</c:f>
              <c:numCache>
                <c:formatCode>General</c:formatCode>
                <c:ptCount val="10"/>
                <c:pt idx="0">
                  <c:v>81.81</c:v>
                </c:pt>
                <c:pt idx="1">
                  <c:v>98.710000000000008</c:v>
                </c:pt>
                <c:pt idx="2">
                  <c:v>91.29</c:v>
                </c:pt>
                <c:pt idx="3">
                  <c:v>72.3</c:v>
                </c:pt>
                <c:pt idx="4">
                  <c:v>96.63</c:v>
                </c:pt>
                <c:pt idx="5">
                  <c:v>52.24</c:v>
                </c:pt>
                <c:pt idx="6">
                  <c:v>37.590000000000003</c:v>
                </c:pt>
                <c:pt idx="7">
                  <c:v>97.61</c:v>
                </c:pt>
                <c:pt idx="8">
                  <c:v>46.59</c:v>
                </c:pt>
                <c:pt idx="9">
                  <c:v>56.59</c:v>
                </c:pt>
              </c:numCache>
            </c:numRef>
          </c:val>
        </c:ser>
        <c:marker val="1"/>
        <c:axId val="99427072"/>
        <c:axId val="99425280"/>
      </c:lineChart>
      <c:catAx>
        <c:axId val="99422208"/>
        <c:scaling>
          <c:orientation val="minMax"/>
        </c:scaling>
        <c:axPos val="b"/>
        <c:tickLblPos val="nextTo"/>
        <c:crossAx val="99423744"/>
        <c:crosses val="autoZero"/>
        <c:auto val="1"/>
        <c:lblAlgn val="ctr"/>
        <c:lblOffset val="100"/>
      </c:catAx>
      <c:valAx>
        <c:axId val="99423744"/>
        <c:scaling>
          <c:orientation val="minMax"/>
        </c:scaling>
        <c:axPos val="l"/>
        <c:majorGridlines/>
        <c:numFmt formatCode="General" sourceLinked="1"/>
        <c:tickLblPos val="nextTo"/>
        <c:crossAx val="99422208"/>
        <c:crosses val="autoZero"/>
        <c:crossBetween val="between"/>
      </c:valAx>
      <c:valAx>
        <c:axId val="99425280"/>
        <c:scaling>
          <c:orientation val="minMax"/>
        </c:scaling>
        <c:axPos val="r"/>
        <c:numFmt formatCode="General" sourceLinked="1"/>
        <c:tickLblPos val="nextTo"/>
        <c:crossAx val="99427072"/>
        <c:crosses val="max"/>
        <c:crossBetween val="between"/>
      </c:valAx>
      <c:catAx>
        <c:axId val="99427072"/>
        <c:scaling>
          <c:orientation val="minMax"/>
        </c:scaling>
        <c:delete val="1"/>
        <c:axPos val="b"/>
        <c:tickLblPos val="none"/>
        <c:crossAx val="9942528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размеры'!$Q$35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multiLvlStrRef>
              <c:f>'разные размеры'!$O$36:$P$45</c:f>
              <c:multiLvlStrCache>
                <c:ptCount val="10"/>
                <c:lvl>
                  <c:pt idx="0">
                    <c:v>-</c:v>
                  </c:pt>
                  <c:pt idx="1">
                    <c:v>ЦМ</c:v>
                  </c:pt>
                  <c:pt idx="2">
                    <c:v>РГЗ</c:v>
                  </c:pt>
                  <c:pt idx="3">
                    <c:v>-</c:v>
                  </c:pt>
                  <c:pt idx="4">
                    <c:v>ЦМ</c:v>
                  </c:pt>
                  <c:pt idx="5">
                    <c:v>РГЗ</c:v>
                  </c:pt>
                  <c:pt idx="6">
                    <c:v>-</c:v>
                  </c:pt>
                  <c:pt idx="7">
                    <c:v>ЦМ</c:v>
                  </c:pt>
                  <c:pt idx="8">
                    <c:v>РГЗ</c:v>
                  </c:pt>
                  <c:pt idx="9">
                    <c:v>-</c:v>
                  </c:pt>
                </c:lvl>
                <c:lvl>
                  <c:pt idx="0">
                    <c:v>А1</c:v>
                  </c:pt>
                  <c:pt idx="1">
                    <c:v>А1</c:v>
                  </c:pt>
                  <c:pt idx="2">
                    <c:v>А1</c:v>
                  </c:pt>
                  <c:pt idx="3">
                    <c:v>А2</c:v>
                  </c:pt>
                  <c:pt idx="4">
                    <c:v>А2</c:v>
                  </c:pt>
                  <c:pt idx="5">
                    <c:v>А2</c:v>
                  </c:pt>
                  <c:pt idx="6">
                    <c:v>Б</c:v>
                  </c:pt>
                  <c:pt idx="7">
                    <c:v>Б</c:v>
                  </c:pt>
                  <c:pt idx="8">
                    <c:v>Б</c:v>
                  </c:pt>
                  <c:pt idx="9">
                    <c:v>Эталон</c:v>
                  </c:pt>
                </c:lvl>
              </c:multiLvlStrCache>
            </c:multiLvlStrRef>
          </c:cat>
          <c:val>
            <c:numRef>
              <c:f>'разные размеры'!$Q$36:$Q$45</c:f>
              <c:numCache>
                <c:formatCode>General</c:formatCode>
                <c:ptCount val="10"/>
                <c:pt idx="0">
                  <c:v>7.38</c:v>
                </c:pt>
                <c:pt idx="1">
                  <c:v>6.21</c:v>
                </c:pt>
                <c:pt idx="2">
                  <c:v>4.58</c:v>
                </c:pt>
                <c:pt idx="3">
                  <c:v>153.03</c:v>
                </c:pt>
                <c:pt idx="4">
                  <c:v>51.1</c:v>
                </c:pt>
                <c:pt idx="5">
                  <c:v>63.06</c:v>
                </c:pt>
                <c:pt idx="6">
                  <c:v>110.45</c:v>
                </c:pt>
                <c:pt idx="7">
                  <c:v>61.75</c:v>
                </c:pt>
                <c:pt idx="8">
                  <c:v>77.56</c:v>
                </c:pt>
                <c:pt idx="9">
                  <c:v>64.040000000000006</c:v>
                </c:pt>
              </c:numCache>
            </c:numRef>
          </c:val>
        </c:ser>
        <c:axId val="99444608"/>
        <c:axId val="99446144"/>
      </c:barChart>
      <c:lineChart>
        <c:grouping val="standard"/>
        <c:ser>
          <c:idx val="1"/>
          <c:order val="1"/>
          <c:tx>
            <c:strRef>
              <c:f>'разные размеры'!$R$35</c:f>
              <c:strCache>
                <c:ptCount val="1"/>
                <c:pt idx="0">
                  <c:v>СКО</c:v>
                </c:pt>
              </c:strCache>
            </c:strRef>
          </c:tx>
          <c:val>
            <c:numRef>
              <c:f>'разные размеры'!$R$36:$R$45</c:f>
              <c:numCache>
                <c:formatCode>General</c:formatCode>
                <c:ptCount val="10"/>
                <c:pt idx="0">
                  <c:v>43.55</c:v>
                </c:pt>
                <c:pt idx="1">
                  <c:v>76.400000000000006</c:v>
                </c:pt>
                <c:pt idx="2">
                  <c:v>43.24</c:v>
                </c:pt>
                <c:pt idx="3">
                  <c:v>71.669999999999987</c:v>
                </c:pt>
                <c:pt idx="4">
                  <c:v>83.02</c:v>
                </c:pt>
                <c:pt idx="5">
                  <c:v>32.39</c:v>
                </c:pt>
                <c:pt idx="6">
                  <c:v>19.93</c:v>
                </c:pt>
                <c:pt idx="7">
                  <c:v>56.47</c:v>
                </c:pt>
                <c:pt idx="8">
                  <c:v>25.41</c:v>
                </c:pt>
                <c:pt idx="9">
                  <c:v>39.04</c:v>
                </c:pt>
              </c:numCache>
            </c:numRef>
          </c:val>
        </c:ser>
        <c:marker val="1"/>
        <c:axId val="99482240"/>
        <c:axId val="99480704"/>
      </c:lineChart>
      <c:catAx>
        <c:axId val="99444608"/>
        <c:scaling>
          <c:orientation val="minMax"/>
        </c:scaling>
        <c:axPos val="b"/>
        <c:tickLblPos val="nextTo"/>
        <c:crossAx val="99446144"/>
        <c:crosses val="autoZero"/>
        <c:auto val="1"/>
        <c:lblAlgn val="ctr"/>
        <c:lblOffset val="100"/>
      </c:catAx>
      <c:valAx>
        <c:axId val="99446144"/>
        <c:scaling>
          <c:orientation val="minMax"/>
        </c:scaling>
        <c:axPos val="l"/>
        <c:majorGridlines/>
        <c:numFmt formatCode="General" sourceLinked="1"/>
        <c:tickLblPos val="nextTo"/>
        <c:crossAx val="99444608"/>
        <c:crosses val="autoZero"/>
        <c:crossBetween val="between"/>
      </c:valAx>
      <c:valAx>
        <c:axId val="99480704"/>
        <c:scaling>
          <c:orientation val="minMax"/>
        </c:scaling>
        <c:axPos val="r"/>
        <c:numFmt formatCode="General" sourceLinked="1"/>
        <c:tickLblPos val="nextTo"/>
        <c:crossAx val="99482240"/>
        <c:crosses val="max"/>
        <c:crossBetween val="between"/>
      </c:valAx>
      <c:catAx>
        <c:axId val="99482240"/>
        <c:scaling>
          <c:orientation val="minMax"/>
        </c:scaling>
        <c:delete val="1"/>
        <c:axPos val="b"/>
        <c:tickLblPos val="none"/>
        <c:crossAx val="9948070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размеры'!$Q$4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multiLvlStrRef>
              <c:f>'разные размеры'!$O$5:$P$14</c:f>
              <c:multiLvlStrCache>
                <c:ptCount val="10"/>
                <c:lvl>
                  <c:pt idx="0">
                    <c:v>-</c:v>
                  </c:pt>
                  <c:pt idx="1">
                    <c:v>ЦМ</c:v>
                  </c:pt>
                  <c:pt idx="2">
                    <c:v>РГЗ</c:v>
                  </c:pt>
                  <c:pt idx="3">
                    <c:v>-</c:v>
                  </c:pt>
                  <c:pt idx="4">
                    <c:v>ЦМ</c:v>
                  </c:pt>
                  <c:pt idx="5">
                    <c:v>РГЗ</c:v>
                  </c:pt>
                  <c:pt idx="6">
                    <c:v>-</c:v>
                  </c:pt>
                  <c:pt idx="7">
                    <c:v>ЦМ</c:v>
                  </c:pt>
                  <c:pt idx="8">
                    <c:v>РГЗ</c:v>
                  </c:pt>
                  <c:pt idx="9">
                    <c:v>-</c:v>
                  </c:pt>
                </c:lvl>
                <c:lvl>
                  <c:pt idx="0">
                    <c:v>А1</c:v>
                  </c:pt>
                  <c:pt idx="1">
                    <c:v>А1</c:v>
                  </c:pt>
                  <c:pt idx="2">
                    <c:v>А1</c:v>
                  </c:pt>
                  <c:pt idx="3">
                    <c:v>А2</c:v>
                  </c:pt>
                  <c:pt idx="4">
                    <c:v>А2</c:v>
                  </c:pt>
                  <c:pt idx="5">
                    <c:v>А2</c:v>
                  </c:pt>
                  <c:pt idx="6">
                    <c:v>Б</c:v>
                  </c:pt>
                  <c:pt idx="7">
                    <c:v>Б</c:v>
                  </c:pt>
                  <c:pt idx="8">
                    <c:v>Б</c:v>
                  </c:pt>
                  <c:pt idx="9">
                    <c:v>Эталон</c:v>
                  </c:pt>
                </c:lvl>
              </c:multiLvlStrCache>
            </c:multiLvlStrRef>
          </c:cat>
          <c:val>
            <c:numRef>
              <c:f>'разные размеры'!$Q$5:$Q$14</c:f>
              <c:numCache>
                <c:formatCode>General</c:formatCode>
                <c:ptCount val="10"/>
                <c:pt idx="0">
                  <c:v>58.08</c:v>
                </c:pt>
                <c:pt idx="1">
                  <c:v>46.41</c:v>
                </c:pt>
                <c:pt idx="2">
                  <c:v>31.51</c:v>
                </c:pt>
                <c:pt idx="3">
                  <c:v>1225.97</c:v>
                </c:pt>
                <c:pt idx="4">
                  <c:v>652.19000000000005</c:v>
                </c:pt>
                <c:pt idx="5">
                  <c:v>763.43</c:v>
                </c:pt>
                <c:pt idx="6">
                  <c:v>1758.11</c:v>
                </c:pt>
                <c:pt idx="7">
                  <c:v>911.24</c:v>
                </c:pt>
                <c:pt idx="8">
                  <c:v>1424.73</c:v>
                </c:pt>
                <c:pt idx="9">
                  <c:v>765.78000000000009</c:v>
                </c:pt>
              </c:numCache>
            </c:numRef>
          </c:val>
        </c:ser>
        <c:axId val="100425728"/>
        <c:axId val="100427264"/>
      </c:barChart>
      <c:lineChart>
        <c:grouping val="standard"/>
        <c:ser>
          <c:idx val="1"/>
          <c:order val="1"/>
          <c:tx>
            <c:strRef>
              <c:f>'разные размеры'!$R$4</c:f>
              <c:strCache>
                <c:ptCount val="1"/>
                <c:pt idx="0">
                  <c:v>СКО</c:v>
                </c:pt>
              </c:strCache>
            </c:strRef>
          </c:tx>
          <c:val>
            <c:numRef>
              <c:f>'разные размеры'!$R$5:$R$14</c:f>
              <c:numCache>
                <c:formatCode>General</c:formatCode>
                <c:ptCount val="10"/>
                <c:pt idx="0">
                  <c:v>52.730000000000004</c:v>
                </c:pt>
                <c:pt idx="1">
                  <c:v>44.11</c:v>
                </c:pt>
                <c:pt idx="2">
                  <c:v>44.67</c:v>
                </c:pt>
                <c:pt idx="3">
                  <c:v>55.06</c:v>
                </c:pt>
                <c:pt idx="4">
                  <c:v>29.06</c:v>
                </c:pt>
                <c:pt idx="5">
                  <c:v>26.69</c:v>
                </c:pt>
                <c:pt idx="6">
                  <c:v>18.739999999999995</c:v>
                </c:pt>
                <c:pt idx="7">
                  <c:v>21.939999999999998</c:v>
                </c:pt>
                <c:pt idx="8">
                  <c:v>21.86</c:v>
                </c:pt>
                <c:pt idx="9">
                  <c:v>38.51</c:v>
                </c:pt>
              </c:numCache>
            </c:numRef>
          </c:val>
        </c:ser>
        <c:marker val="1"/>
        <c:axId val="100430592"/>
        <c:axId val="100428800"/>
      </c:lineChart>
      <c:catAx>
        <c:axId val="100425728"/>
        <c:scaling>
          <c:orientation val="minMax"/>
        </c:scaling>
        <c:axPos val="b"/>
        <c:tickLblPos val="nextTo"/>
        <c:crossAx val="100427264"/>
        <c:crosses val="autoZero"/>
        <c:auto val="1"/>
        <c:lblAlgn val="ctr"/>
        <c:lblOffset val="100"/>
      </c:catAx>
      <c:valAx>
        <c:axId val="100427264"/>
        <c:scaling>
          <c:orientation val="minMax"/>
        </c:scaling>
        <c:axPos val="l"/>
        <c:majorGridlines/>
        <c:numFmt formatCode="General" sourceLinked="1"/>
        <c:tickLblPos val="nextTo"/>
        <c:crossAx val="100425728"/>
        <c:crosses val="autoZero"/>
        <c:crossBetween val="between"/>
      </c:valAx>
      <c:valAx>
        <c:axId val="100428800"/>
        <c:scaling>
          <c:orientation val="minMax"/>
        </c:scaling>
        <c:axPos val="r"/>
        <c:numFmt formatCode="General" sourceLinked="1"/>
        <c:tickLblPos val="nextTo"/>
        <c:crossAx val="100430592"/>
        <c:crosses val="max"/>
        <c:crossBetween val="between"/>
      </c:valAx>
      <c:catAx>
        <c:axId val="100430592"/>
        <c:scaling>
          <c:orientation val="minMax"/>
        </c:scaling>
        <c:delete val="1"/>
        <c:axPos val="b"/>
        <c:tickLblPos val="none"/>
        <c:crossAx val="10042880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2018-04-27T14:10:00Z</dcterms:created>
  <dcterms:modified xsi:type="dcterms:W3CDTF">2018-04-28T13:04:00Z</dcterms:modified>
</cp:coreProperties>
</file>