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D37ED" w:rsidRPr="00D00506" w:rsidTr="001A16A2">
        <w:tc>
          <w:tcPr>
            <w:tcW w:w="1312" w:type="dxa"/>
            <w:vMerge w:val="restart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7D481E" w:rsidRPr="00D00506" w:rsidTr="00131AD1">
        <w:tc>
          <w:tcPr>
            <w:tcW w:w="1312" w:type="dxa"/>
            <w:vMerge/>
          </w:tcPr>
          <w:p w:rsidR="007D481E" w:rsidRPr="00D00506" w:rsidRDefault="007D481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96,38</w:t>
            </w:r>
          </w:p>
        </w:tc>
        <w:tc>
          <w:tcPr>
            <w:tcW w:w="1718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12,76</w:t>
            </w:r>
          </w:p>
        </w:tc>
        <w:tc>
          <w:tcPr>
            <w:tcW w:w="1116" w:type="dxa"/>
          </w:tcPr>
          <w:p w:rsidR="007D481E" w:rsidRPr="00191998" w:rsidRDefault="007D481E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0,91276</w:t>
            </w:r>
          </w:p>
        </w:tc>
      </w:tr>
      <w:tr w:rsidR="007D481E" w:rsidRPr="00D00506" w:rsidTr="00131AD1">
        <w:tc>
          <w:tcPr>
            <w:tcW w:w="1312" w:type="dxa"/>
            <w:vMerge/>
          </w:tcPr>
          <w:p w:rsidR="007D481E" w:rsidRPr="00D00506" w:rsidRDefault="007D481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999" w:type="dxa"/>
            <w:vAlign w:val="bottom"/>
          </w:tcPr>
          <w:p w:rsidR="007D481E" w:rsidRDefault="007D481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7D481E" w:rsidRPr="00191998" w:rsidRDefault="007D481E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7D481E" w:rsidRPr="00191998" w:rsidRDefault="007D481E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7D481E" w:rsidRDefault="007D481E">
            <w:pPr>
              <w:rPr>
                <w:rFonts w:ascii="Calibri" w:hAnsi="Calibri"/>
                <w:color w:val="000000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B653F4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</w:t>
      </w:r>
      <w:r w:rsidR="007D481E">
        <w:t>2</w:t>
      </w:r>
      <w:r>
        <w:t>00</w:t>
      </w:r>
      <w:r w:rsidR="00337716">
        <w:t xml:space="preserve">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276A70">
        <w:rPr>
          <w:rFonts w:ascii="Times New Roman" w:hAnsi="Times New Roman" w:cs="Times New Roman"/>
          <w:sz w:val="28"/>
          <w:szCs w:val="28"/>
        </w:rPr>
        <w:t>З</w:t>
      </w:r>
      <w:r w:rsidR="00276A70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276A70">
        <w:rPr>
          <w:rFonts w:ascii="Times New Roman" w:hAnsi="Times New Roman" w:cs="Times New Roman"/>
          <w:sz w:val="28"/>
          <w:szCs w:val="28"/>
        </w:rPr>
        <w:t>от выбранного алгоритма</w:t>
      </w:r>
    </w:p>
    <w:tbl>
      <w:tblPr>
        <w:tblStyle w:val="a5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417347" w:rsidRPr="007D481E" w:rsidTr="007D481E">
        <w:tc>
          <w:tcPr>
            <w:tcW w:w="2549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417347" w:rsidRPr="007D481E" w:rsidRDefault="00417347" w:rsidP="007D481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17347" w:rsidRPr="007D481E" w:rsidRDefault="00417347" w:rsidP="007D481E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417347" w:rsidRPr="007D481E" w:rsidRDefault="00417347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7D481E" w:rsidRPr="007D481E" w:rsidTr="007D481E">
        <w:tc>
          <w:tcPr>
            <w:tcW w:w="2549" w:type="dxa"/>
            <w:vAlign w:val="center"/>
          </w:tcPr>
          <w:p w:rsidR="007D481E" w:rsidRPr="007D481E" w:rsidRDefault="007D481E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1,461089</w:t>
            </w:r>
          </w:p>
        </w:tc>
        <w:tc>
          <w:tcPr>
            <w:tcW w:w="1275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0,912761</w:t>
            </w:r>
          </w:p>
        </w:tc>
      </w:tr>
      <w:tr w:rsidR="007D481E" w:rsidRPr="007D481E" w:rsidTr="007D481E">
        <w:tc>
          <w:tcPr>
            <w:tcW w:w="2549" w:type="dxa"/>
            <w:vAlign w:val="center"/>
          </w:tcPr>
          <w:p w:rsidR="007D481E" w:rsidRPr="007D481E" w:rsidRDefault="007D481E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4,607362</w:t>
            </w:r>
          </w:p>
        </w:tc>
        <w:tc>
          <w:tcPr>
            <w:tcW w:w="1275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0,903127</w:t>
            </w:r>
          </w:p>
        </w:tc>
      </w:tr>
      <w:tr w:rsidR="007D481E" w:rsidRPr="007D481E" w:rsidTr="007D481E">
        <w:tc>
          <w:tcPr>
            <w:tcW w:w="2549" w:type="dxa"/>
            <w:vAlign w:val="center"/>
          </w:tcPr>
          <w:p w:rsidR="007D481E" w:rsidRPr="007D481E" w:rsidRDefault="007D481E" w:rsidP="007D481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5,867188</w:t>
            </w:r>
          </w:p>
        </w:tc>
        <w:tc>
          <w:tcPr>
            <w:tcW w:w="1275" w:type="dxa"/>
            <w:vAlign w:val="center"/>
          </w:tcPr>
          <w:p w:rsidR="007D481E" w:rsidRPr="007D481E" w:rsidRDefault="007D481E" w:rsidP="007D481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0,913239</w:t>
            </w:r>
          </w:p>
        </w:tc>
      </w:tr>
    </w:tbl>
    <w:p w:rsidR="007B4A31" w:rsidRPr="00191998" w:rsidRDefault="00337716" w:rsidP="007B4A31">
      <w:pPr>
        <w:pStyle w:val="a3"/>
        <w:spacing w:before="240"/>
        <w:rPr>
          <w:color w:val="FF0000"/>
        </w:rPr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 w:rsidR="00F9684F"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>наиболее эффективным с точки зрения затрачиваемого времени</w:t>
      </w:r>
      <w:r w:rsidR="007B4A31" w:rsidRPr="007B4A31">
        <w:t xml:space="preserve">, будет выбор первого подходящего </w:t>
      </w:r>
      <w:r w:rsidR="007B4A31" w:rsidRPr="007B4A31">
        <w:lastRenderedPageBreak/>
        <w:t xml:space="preserve">доменного блока без разбиения с размером рангового блока, равным 4 и </w:t>
      </w:r>
      <w:proofErr w:type="spellStart"/>
      <w:r w:rsidR="007B4A31" w:rsidRPr="007B4A31">
        <w:t>эпсилон</w:t>
      </w:r>
      <w:proofErr w:type="spellEnd"/>
      <w:r w:rsidR="007B4A31" w:rsidRPr="007B4A31">
        <w:t xml:space="preserve"> – </w:t>
      </w:r>
      <w:r w:rsidR="007D481E">
        <w:t>200, а выбор доменного блока с наименьшим СКО не дает большого выигрыша по времени.</w:t>
      </w:r>
      <w:proofErr w:type="gramEnd"/>
    </w:p>
    <w:p w:rsidR="009D36B8" w:rsidRPr="00191998" w:rsidRDefault="009D36B8" w:rsidP="00337716">
      <w:pPr>
        <w:pStyle w:val="a3"/>
        <w:spacing w:before="240"/>
        <w:rPr>
          <w:color w:val="FF0000"/>
        </w:rPr>
      </w:pPr>
    </w:p>
    <w:p w:rsidR="00337716" w:rsidRDefault="007D481E" w:rsidP="007B4A31">
      <w:pPr>
        <w:pStyle w:val="a3"/>
        <w:jc w:val="center"/>
      </w:pPr>
      <w:r w:rsidRPr="007D481E">
        <w:drawing>
          <wp:inline distT="0" distB="0" distL="0" distR="0">
            <wp:extent cx="5695950" cy="24479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</w:t>
      </w:r>
      <w:r w:rsidR="00337716" w:rsidRPr="007B4A31">
        <w:t xml:space="preserve">– Зависимость </w:t>
      </w:r>
      <w:r w:rsidR="007B4A31">
        <w:t>времени</w:t>
      </w:r>
      <w:r w:rsidR="00337716" w:rsidRPr="007B4A31">
        <w:t xml:space="preserve"> сжатия изображения от алгоритма и типа классификации.</w:t>
      </w:r>
    </w:p>
    <w:sectPr w:rsidR="00337716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76A70"/>
    <w:rsid w:val="002D37ED"/>
    <w:rsid w:val="00337716"/>
    <w:rsid w:val="003B3F5D"/>
    <w:rsid w:val="00417347"/>
    <w:rsid w:val="0042378E"/>
    <w:rsid w:val="007B4A31"/>
    <w:rsid w:val="007D481E"/>
    <w:rsid w:val="00853D98"/>
    <w:rsid w:val="008976C5"/>
    <w:rsid w:val="008F22C8"/>
    <w:rsid w:val="009D36B8"/>
    <w:rsid w:val="00A36447"/>
    <w:rsid w:val="00AD1365"/>
    <w:rsid w:val="00AF43EC"/>
    <w:rsid w:val="00B653F4"/>
    <w:rsid w:val="00B9619A"/>
    <w:rsid w:val="00BC643B"/>
    <w:rsid w:val="00C222AA"/>
    <w:rsid w:val="00CD67E2"/>
    <w:rsid w:val="00E96E1E"/>
    <w:rsid w:val="00F9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35"/>
          <c:h val="0.66445744865549494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74272128"/>
        <c:axId val="74917376"/>
      </c:barChart>
      <c:catAx>
        <c:axId val="74272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776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4917376"/>
        <c:crosses val="autoZero"/>
        <c:auto val="1"/>
        <c:lblAlgn val="ctr"/>
        <c:lblOffset val="100"/>
      </c:catAx>
      <c:valAx>
        <c:axId val="749173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742721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5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2018-04-27T14:10:00Z</dcterms:created>
  <dcterms:modified xsi:type="dcterms:W3CDTF">2018-05-11T16:29:00Z</dcterms:modified>
</cp:coreProperties>
</file>