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ECO 590 Proposal </w:t>
      </w:r>
    </w:p>
    <w:p w:rsidR="00000000" w:rsidDel="00000000" w:rsidP="00000000" w:rsidRDefault="00000000" w:rsidRPr="00000000" w14:paraId="00000002">
      <w:pPr>
        <w:rPr/>
      </w:pPr>
      <w:r w:rsidDel="00000000" w:rsidR="00000000" w:rsidRPr="00000000">
        <w:rPr>
          <w:rtl w:val="0"/>
        </w:rPr>
        <w:t xml:space="preserve">Viktoriia Yevtushenko</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jc w:val="center"/>
        <w:rPr>
          <w:b w:val="1"/>
          <w:color w:val="000000"/>
          <w:sz w:val="26"/>
          <w:szCs w:val="26"/>
        </w:rPr>
      </w:pPr>
      <w:r w:rsidDel="00000000" w:rsidR="00000000" w:rsidRPr="00000000">
        <w:rPr>
          <w:b w:val="1"/>
          <w:rtl w:val="0"/>
        </w:rPr>
        <w:t xml:space="preserve">Impact of Economic Uncertainty on the U.S. Dollar</w:t>
      </w:r>
      <w:r w:rsidDel="00000000" w:rsidR="00000000" w:rsidRPr="00000000">
        <w:rPr>
          <w:rtl w:val="0"/>
        </w:rPr>
      </w:r>
    </w:p>
    <w:p w:rsidR="00000000" w:rsidDel="00000000" w:rsidP="00000000" w:rsidRDefault="00000000" w:rsidRPr="00000000" w14:paraId="00000005">
      <w:pPr>
        <w:shd w:fill="ffffff" w:val="clear"/>
        <w:spacing w:after="240" w:before="240" w:lineRule="auto"/>
        <w:rPr>
          <w:sz w:val="21"/>
          <w:szCs w:val="21"/>
        </w:rPr>
      </w:pPr>
      <w:r w:rsidDel="00000000" w:rsidR="00000000" w:rsidRPr="00000000">
        <w:rPr>
          <w:sz w:val="21"/>
          <w:szCs w:val="21"/>
          <w:rtl w:val="0"/>
        </w:rPr>
        <w:t xml:space="preserve">For this project, I plan to collect data using APIs from two main sources: </w:t>
      </w:r>
      <w:r w:rsidDel="00000000" w:rsidR="00000000" w:rsidRPr="00000000">
        <w:rPr>
          <w:b w:val="1"/>
          <w:sz w:val="21"/>
          <w:szCs w:val="21"/>
          <w:rtl w:val="0"/>
        </w:rPr>
        <w:t xml:space="preserve">FRED </w:t>
      </w:r>
      <w:r w:rsidDel="00000000" w:rsidR="00000000" w:rsidRPr="00000000">
        <w:rPr>
          <w:sz w:val="21"/>
          <w:szCs w:val="21"/>
          <w:rtl w:val="0"/>
        </w:rPr>
        <w:t xml:space="preserve">and </w:t>
      </w:r>
      <w:r w:rsidDel="00000000" w:rsidR="00000000" w:rsidRPr="00000000">
        <w:rPr>
          <w:b w:val="1"/>
          <w:sz w:val="21"/>
          <w:szCs w:val="21"/>
          <w:rtl w:val="0"/>
        </w:rPr>
        <w:t xml:space="preserve">Yahoo Finance</w:t>
      </w:r>
      <w:r w:rsidDel="00000000" w:rsidR="00000000" w:rsidRPr="00000000">
        <w:rPr>
          <w:sz w:val="21"/>
          <w:szCs w:val="21"/>
          <w:rtl w:val="0"/>
        </w:rPr>
        <w:t xml:space="preserve">. FRED’s API is open access. I obtained my personal API key by creating an account on their website. </w:t>
      </w:r>
    </w:p>
    <w:p w:rsidR="00000000" w:rsidDel="00000000" w:rsidP="00000000" w:rsidRDefault="00000000" w:rsidRPr="00000000" w14:paraId="00000006">
      <w:pPr>
        <w:pStyle w:val="Heading3"/>
        <w:keepNext w:val="0"/>
        <w:keepLines w:val="0"/>
        <w:shd w:fill="ffffff" w:val="clear"/>
        <w:spacing w:before="280" w:lineRule="auto"/>
        <w:rPr>
          <w:b w:val="1"/>
          <w:color w:val="000000"/>
          <w:sz w:val="26"/>
          <w:szCs w:val="26"/>
        </w:rPr>
      </w:pPr>
      <w:bookmarkStart w:colFirst="0" w:colLast="0" w:name="_hrrqihdt8r1b" w:id="0"/>
      <w:bookmarkEnd w:id="0"/>
      <w:r w:rsidDel="00000000" w:rsidR="00000000" w:rsidRPr="00000000">
        <w:rPr>
          <w:b w:val="1"/>
          <w:color w:val="000000"/>
          <w:sz w:val="26"/>
          <w:szCs w:val="26"/>
          <w:rtl w:val="0"/>
        </w:rPr>
        <w:t xml:space="preserve">Variables:</w:t>
      </w:r>
    </w:p>
    <w:p w:rsidR="00000000" w:rsidDel="00000000" w:rsidP="00000000" w:rsidRDefault="00000000" w:rsidRPr="00000000" w14:paraId="00000007">
      <w:pPr>
        <w:shd w:fill="ffffff" w:val="clear"/>
        <w:spacing w:after="240" w:before="240" w:lineRule="auto"/>
        <w:rPr>
          <w:sz w:val="21"/>
          <w:szCs w:val="21"/>
        </w:rPr>
      </w:pPr>
      <w:r w:rsidDel="00000000" w:rsidR="00000000" w:rsidRPr="00000000">
        <w:rPr>
          <w:sz w:val="21"/>
          <w:szCs w:val="21"/>
          <w:rtl w:val="0"/>
        </w:rPr>
        <w:t xml:space="preserve">I will collect the following variables from FRED via API requests:</w:t>
      </w:r>
    </w:p>
    <w:p w:rsidR="00000000" w:rsidDel="00000000" w:rsidP="00000000" w:rsidRDefault="00000000" w:rsidRPr="00000000" w14:paraId="00000008">
      <w:pPr>
        <w:numPr>
          <w:ilvl w:val="0"/>
          <w:numId w:val="2"/>
        </w:numPr>
        <w:shd w:fill="ffffff" w:val="clear"/>
        <w:spacing w:after="0" w:afterAutospacing="0" w:before="240" w:lineRule="auto"/>
        <w:ind w:left="720" w:hanging="360"/>
        <w:rPr>
          <w:sz w:val="21"/>
          <w:szCs w:val="21"/>
        </w:rPr>
      </w:pPr>
      <w:r w:rsidDel="00000000" w:rsidR="00000000" w:rsidRPr="00000000">
        <w:rPr>
          <w:b w:val="1"/>
          <w:sz w:val="21"/>
          <w:szCs w:val="21"/>
          <w:rtl w:val="0"/>
        </w:rPr>
        <w:t xml:space="preserve">Economic Policy Uncertainty Index (USEPUINDXD)</w:t>
        <w:br w:type="textWrapping"/>
      </w:r>
      <w:r w:rsidDel="00000000" w:rsidR="00000000" w:rsidRPr="00000000">
        <w:rPr>
          <w:sz w:val="21"/>
          <w:szCs w:val="21"/>
          <w:rtl w:val="0"/>
        </w:rPr>
        <w:t xml:space="preserve"> This index reflects uncertainty regarding economic policy, based on newspaper coverage frequency. It will serve as the main explanatory variable.</w:t>
        <w:br w:type="textWrapping"/>
      </w:r>
    </w:p>
    <w:p w:rsidR="00000000" w:rsidDel="00000000" w:rsidP="00000000" w:rsidRDefault="00000000" w:rsidRPr="00000000" w14:paraId="00000009">
      <w:pPr>
        <w:numPr>
          <w:ilvl w:val="0"/>
          <w:numId w:val="2"/>
        </w:numPr>
        <w:shd w:fill="ffffff" w:val="clear"/>
        <w:spacing w:after="0" w:afterAutospacing="0" w:before="0" w:beforeAutospacing="0" w:lineRule="auto"/>
        <w:ind w:left="720" w:hanging="360"/>
        <w:rPr>
          <w:sz w:val="21"/>
          <w:szCs w:val="21"/>
        </w:rPr>
      </w:pPr>
      <w:r w:rsidDel="00000000" w:rsidR="00000000" w:rsidRPr="00000000">
        <w:rPr>
          <w:b w:val="1"/>
          <w:sz w:val="21"/>
          <w:szCs w:val="21"/>
          <w:rtl w:val="0"/>
        </w:rPr>
        <w:t xml:space="preserve">CBOE Volatility Index (VIXCLS)</w:t>
        <w:br w:type="textWrapping"/>
      </w:r>
      <w:r w:rsidDel="00000000" w:rsidR="00000000" w:rsidRPr="00000000">
        <w:rPr>
          <w:sz w:val="21"/>
          <w:szCs w:val="21"/>
          <w:rtl w:val="0"/>
        </w:rPr>
        <w:t xml:space="preserve"> Commonly known as the "fear index," this represents market expectations of near-term volatility and serves as a proxy for financial market uncertainty.</w:t>
        <w:br w:type="textWrapping"/>
      </w:r>
    </w:p>
    <w:p w:rsidR="00000000" w:rsidDel="00000000" w:rsidP="00000000" w:rsidRDefault="00000000" w:rsidRPr="00000000" w14:paraId="0000000A">
      <w:pPr>
        <w:numPr>
          <w:ilvl w:val="0"/>
          <w:numId w:val="2"/>
        </w:numPr>
        <w:shd w:fill="ffffff" w:val="clear"/>
        <w:spacing w:after="0" w:afterAutospacing="0" w:before="0" w:beforeAutospacing="0" w:lineRule="auto"/>
        <w:ind w:left="720" w:hanging="360"/>
        <w:rPr>
          <w:sz w:val="21"/>
          <w:szCs w:val="21"/>
        </w:rPr>
      </w:pPr>
      <w:r w:rsidDel="00000000" w:rsidR="00000000" w:rsidRPr="00000000">
        <w:rPr>
          <w:b w:val="1"/>
          <w:sz w:val="21"/>
          <w:szCs w:val="21"/>
          <w:rtl w:val="0"/>
        </w:rPr>
        <w:t xml:space="preserve">Effective Federal Funds Rate (DFF)</w:t>
        <w:br w:type="textWrapping"/>
      </w:r>
      <w:r w:rsidDel="00000000" w:rsidR="00000000" w:rsidRPr="00000000">
        <w:rPr>
          <w:sz w:val="21"/>
          <w:szCs w:val="21"/>
          <w:rtl w:val="0"/>
        </w:rPr>
        <w:t xml:space="preserve"> The interest rate at which depository institutions lend balances to each other overnight. It influences currency value and will help control for monetary policy effects.</w:t>
        <w:br w:type="textWrapping"/>
      </w:r>
    </w:p>
    <w:p w:rsidR="00000000" w:rsidDel="00000000" w:rsidP="00000000" w:rsidRDefault="00000000" w:rsidRPr="00000000" w14:paraId="0000000B">
      <w:pPr>
        <w:numPr>
          <w:ilvl w:val="0"/>
          <w:numId w:val="2"/>
        </w:numPr>
        <w:shd w:fill="ffffff" w:val="clear"/>
        <w:spacing w:after="0" w:afterAutospacing="0" w:before="0" w:beforeAutospacing="0" w:lineRule="auto"/>
        <w:ind w:left="720" w:hanging="360"/>
        <w:rPr>
          <w:sz w:val="21"/>
          <w:szCs w:val="21"/>
        </w:rPr>
      </w:pPr>
      <w:r w:rsidDel="00000000" w:rsidR="00000000" w:rsidRPr="00000000">
        <w:rPr>
          <w:b w:val="1"/>
          <w:sz w:val="21"/>
          <w:szCs w:val="21"/>
          <w:rtl w:val="0"/>
        </w:rPr>
        <w:t xml:space="preserve">10-Year Treasury Constant Maturity Rate (GS10)</w:t>
        <w:br w:type="textWrapping"/>
      </w:r>
      <w:r w:rsidDel="00000000" w:rsidR="00000000" w:rsidRPr="00000000">
        <w:rPr>
          <w:sz w:val="21"/>
          <w:szCs w:val="21"/>
          <w:rtl w:val="0"/>
        </w:rPr>
        <w:t xml:space="preserve"> A key benchmark for long-term interest rates in the U.S., this reflects investor sentiment about future economic conditions.</w:t>
        <w:br w:type="textWrapping"/>
      </w:r>
    </w:p>
    <w:p w:rsidR="00000000" w:rsidDel="00000000" w:rsidP="00000000" w:rsidRDefault="00000000" w:rsidRPr="00000000" w14:paraId="0000000C">
      <w:pPr>
        <w:numPr>
          <w:ilvl w:val="0"/>
          <w:numId w:val="2"/>
        </w:numPr>
        <w:shd w:fill="ffffff" w:val="clear"/>
        <w:spacing w:after="0" w:afterAutospacing="0" w:before="0" w:beforeAutospacing="0" w:lineRule="auto"/>
        <w:ind w:left="720" w:hanging="360"/>
        <w:rPr>
          <w:sz w:val="21"/>
          <w:szCs w:val="21"/>
        </w:rPr>
      </w:pPr>
      <w:r w:rsidDel="00000000" w:rsidR="00000000" w:rsidRPr="00000000">
        <w:rPr>
          <w:b w:val="1"/>
          <w:sz w:val="21"/>
          <w:szCs w:val="21"/>
          <w:rtl w:val="0"/>
        </w:rPr>
        <w:t xml:space="preserve">U.S. Trade Balance (BOPGTB)</w:t>
        <w:br w:type="textWrapping"/>
      </w:r>
      <w:r w:rsidDel="00000000" w:rsidR="00000000" w:rsidRPr="00000000">
        <w:rPr>
          <w:sz w:val="21"/>
          <w:szCs w:val="21"/>
          <w:rtl w:val="0"/>
        </w:rPr>
        <w:t xml:space="preserve"> This indicates the difference between exports and imports and can influence the demand for the U.S. dollar.</w:t>
        <w:br w:type="textWrapping"/>
      </w:r>
    </w:p>
    <w:p w:rsidR="00000000" w:rsidDel="00000000" w:rsidP="00000000" w:rsidRDefault="00000000" w:rsidRPr="00000000" w14:paraId="0000000D">
      <w:pPr>
        <w:numPr>
          <w:ilvl w:val="0"/>
          <w:numId w:val="2"/>
        </w:numPr>
        <w:shd w:fill="ffffff" w:val="clear"/>
        <w:spacing w:after="240" w:before="0" w:beforeAutospacing="0" w:lineRule="auto"/>
        <w:ind w:left="720" w:hanging="360"/>
        <w:rPr>
          <w:sz w:val="21"/>
          <w:szCs w:val="21"/>
        </w:rPr>
      </w:pPr>
      <w:r w:rsidDel="00000000" w:rsidR="00000000" w:rsidRPr="00000000">
        <w:rPr>
          <w:b w:val="1"/>
          <w:sz w:val="21"/>
          <w:szCs w:val="21"/>
          <w:rtl w:val="0"/>
        </w:rPr>
        <w:t xml:space="preserve">Core Personal Consumption Expenditures (PCEPILFE)</w:t>
        <w:br w:type="textWrapping"/>
      </w:r>
      <w:r w:rsidDel="00000000" w:rsidR="00000000" w:rsidRPr="00000000">
        <w:rPr>
          <w:sz w:val="21"/>
          <w:szCs w:val="21"/>
          <w:rtl w:val="0"/>
        </w:rPr>
        <w:t xml:space="preserve"> A measure of inflation excluding food and energy prices, important for understanding purchasing power and monetary policy reactions.</w:t>
        <w:br w:type="textWrapping"/>
      </w:r>
    </w:p>
    <w:p w:rsidR="00000000" w:rsidDel="00000000" w:rsidP="00000000" w:rsidRDefault="00000000" w:rsidRPr="00000000" w14:paraId="0000000E">
      <w:pPr>
        <w:shd w:fill="ffffff" w:val="clear"/>
        <w:spacing w:after="240" w:before="240" w:lineRule="auto"/>
        <w:ind w:left="0" w:firstLine="0"/>
        <w:rPr>
          <w:sz w:val="21"/>
          <w:szCs w:val="21"/>
        </w:rPr>
      </w:pPr>
      <w:r w:rsidDel="00000000" w:rsidR="00000000" w:rsidRPr="00000000">
        <w:rPr>
          <w:sz w:val="21"/>
          <w:szCs w:val="21"/>
          <w:rtl w:val="0"/>
        </w:rPr>
        <w:t xml:space="preserve">From </w:t>
      </w:r>
      <w:r w:rsidDel="00000000" w:rsidR="00000000" w:rsidRPr="00000000">
        <w:rPr>
          <w:b w:val="1"/>
          <w:sz w:val="21"/>
          <w:szCs w:val="21"/>
          <w:rtl w:val="0"/>
        </w:rPr>
        <w:t xml:space="preserve">Yahoo Finance</w:t>
      </w:r>
      <w:r w:rsidDel="00000000" w:rsidR="00000000" w:rsidRPr="00000000">
        <w:rPr>
          <w:sz w:val="21"/>
          <w:szCs w:val="21"/>
          <w:rtl w:val="0"/>
        </w:rPr>
        <w:t xml:space="preserve">, I will collect:</w:t>
      </w:r>
    </w:p>
    <w:p w:rsidR="00000000" w:rsidDel="00000000" w:rsidP="00000000" w:rsidRDefault="00000000" w:rsidRPr="00000000" w14:paraId="0000000F">
      <w:pPr>
        <w:numPr>
          <w:ilvl w:val="0"/>
          <w:numId w:val="1"/>
        </w:numPr>
        <w:shd w:fill="ffffff" w:val="clear"/>
        <w:spacing w:after="240" w:before="240" w:lineRule="auto"/>
        <w:ind w:left="720" w:hanging="360"/>
        <w:rPr>
          <w:sz w:val="21"/>
          <w:szCs w:val="21"/>
        </w:rPr>
      </w:pPr>
      <w:r w:rsidDel="00000000" w:rsidR="00000000" w:rsidRPr="00000000">
        <w:rPr>
          <w:b w:val="1"/>
          <w:sz w:val="21"/>
          <w:szCs w:val="21"/>
          <w:rtl w:val="0"/>
        </w:rPr>
        <w:t xml:space="preserve">U.S. Dollar Index (DXY)</w:t>
        <w:br w:type="textWrapping"/>
      </w:r>
      <w:r w:rsidDel="00000000" w:rsidR="00000000" w:rsidRPr="00000000">
        <w:rPr>
          <w:sz w:val="21"/>
          <w:szCs w:val="21"/>
          <w:rtl w:val="0"/>
        </w:rPr>
        <w:t xml:space="preserve"> This measures the value of the U.S. dollar relative to a basket of foreign currencies and will be the main dependent variable in my regression analysis.</w:t>
      </w:r>
    </w:p>
    <w:p w:rsidR="00000000" w:rsidDel="00000000" w:rsidP="00000000" w:rsidRDefault="00000000" w:rsidRPr="00000000" w14:paraId="00000010">
      <w:pPr>
        <w:shd w:fill="ffffff" w:val="clear"/>
        <w:spacing w:after="240" w:before="240" w:lineRule="auto"/>
        <w:rPr>
          <w:sz w:val="21"/>
          <w:szCs w:val="21"/>
        </w:rPr>
      </w:pPr>
      <w:r w:rsidDel="00000000" w:rsidR="00000000" w:rsidRPr="00000000">
        <w:rPr>
          <w:sz w:val="21"/>
          <w:szCs w:val="21"/>
          <w:rtl w:val="0"/>
        </w:rPr>
        <w:t xml:space="preserve">Other variables:</w:t>
      </w:r>
    </w:p>
    <w:p w:rsidR="00000000" w:rsidDel="00000000" w:rsidP="00000000" w:rsidRDefault="00000000" w:rsidRPr="00000000" w14:paraId="00000011">
      <w:pPr>
        <w:shd w:fill="ffffff" w:val="clear"/>
        <w:spacing w:after="240" w:before="240" w:lineRule="auto"/>
        <w:rPr>
          <w:sz w:val="21"/>
          <w:szCs w:val="21"/>
        </w:rPr>
      </w:pPr>
      <w:r w:rsidDel="00000000" w:rsidR="00000000" w:rsidRPr="00000000">
        <w:rPr>
          <w:sz w:val="21"/>
          <w:szCs w:val="21"/>
          <w:rtl w:val="0"/>
        </w:rPr>
        <w:t xml:space="preserve">I plan to collect Google trends data on </w:t>
      </w:r>
      <w:r w:rsidDel="00000000" w:rsidR="00000000" w:rsidRPr="00000000">
        <w:rPr>
          <w:b w:val="1"/>
          <w:sz w:val="21"/>
          <w:szCs w:val="21"/>
          <w:rtl w:val="0"/>
        </w:rPr>
        <w:t xml:space="preserve">“recession”</w:t>
      </w:r>
      <w:r w:rsidDel="00000000" w:rsidR="00000000" w:rsidRPr="00000000">
        <w:rPr>
          <w:sz w:val="21"/>
          <w:szCs w:val="21"/>
          <w:rtl w:val="0"/>
        </w:rPr>
        <w:t xml:space="preserve"> </w:t>
      </w:r>
      <w:r w:rsidDel="00000000" w:rsidR="00000000" w:rsidRPr="00000000">
        <w:rPr>
          <w:sz w:val="21"/>
          <w:szCs w:val="21"/>
          <w:rtl w:val="0"/>
        </w:rPr>
        <w:t xml:space="preserve">as a proxy for public perception of economic uncertainty. </w:t>
      </w:r>
    </w:p>
    <w:p w:rsidR="00000000" w:rsidDel="00000000" w:rsidP="00000000" w:rsidRDefault="00000000" w:rsidRPr="00000000" w14:paraId="00000012">
      <w:pPr>
        <w:spacing w:after="240" w:before="240" w:lineRule="auto"/>
        <w:rPr>
          <w:b w:val="1"/>
        </w:rPr>
      </w:pPr>
      <w:r w:rsidDel="00000000" w:rsidR="00000000" w:rsidRPr="00000000">
        <w:rPr>
          <w:b w:val="1"/>
          <w:rtl w:val="0"/>
        </w:rPr>
        <w:t xml:space="preserve">My main question: "How does economic uncertainty affect the strength of the U.S. dollar?"</w:t>
      </w:r>
    </w:p>
    <w:p w:rsidR="00000000" w:rsidDel="00000000" w:rsidP="00000000" w:rsidRDefault="00000000" w:rsidRPr="00000000" w14:paraId="00000013">
      <w:pPr>
        <w:spacing w:after="240" w:before="240" w:lineRule="auto"/>
        <w:rPr/>
      </w:pPr>
      <w:r w:rsidDel="00000000" w:rsidR="00000000" w:rsidRPr="00000000">
        <w:rPr>
          <w:rtl w:val="0"/>
        </w:rPr>
        <w:t xml:space="preserve">The U.S. dollar is a key player in global finance, widely used in trade, investment, and central bank reserves. Its value often reflects broader economic and political conditions. In times of uncertainty, whether due to policy shifts, elections, or international conflicts, investors may turn to the dollar as a relatively stable asset. However, uncertainty can also disrupt domestic economic performance, influence interest rate decisions, and alter investor expectations, all of which affect the dollar's strength.</w:t>
      </w:r>
    </w:p>
    <w:p w:rsidR="00000000" w:rsidDel="00000000" w:rsidP="00000000" w:rsidRDefault="00000000" w:rsidRPr="00000000" w14:paraId="00000014">
      <w:pPr>
        <w:spacing w:after="240" w:before="240" w:lineRule="auto"/>
        <w:rPr/>
      </w:pPr>
      <w:r w:rsidDel="00000000" w:rsidR="00000000" w:rsidRPr="00000000">
        <w:rPr>
          <w:rtl w:val="0"/>
        </w:rPr>
        <w:t xml:space="preserve">This research is driven by the increasing need to understand how different forms of uncertainty impact currency markets. With recent developments like fiscal policy debates and geopolitical tensions, studying the connection between uncertainty and the value of the U.S. dollar is both timely and important for economists and policymakers alike.</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r>
    </w:p>
    <w:sectPr>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