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AE1A" w14:textId="7111AA6E" w:rsidR="003C592C" w:rsidRPr="00CE1440" w:rsidRDefault="003C592C" w:rsidP="003C592C">
      <w:pPr>
        <w:widowControl w:val="0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представления знаний: фреймы и семантические сети.  Использование семантических сетей и фреймов для представления знаний о типовом оборудовании химических производств (печи </w:t>
      </w:r>
      <w:r w:rsidRPr="00CE14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П-102 установки каталитического крекинга</w:t>
      </w:r>
      <w:r w:rsidRPr="00CE14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3C499F1" w14:textId="65C0FF75" w:rsidR="00263E4E" w:rsidRPr="00CE1440" w:rsidRDefault="00CE1440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05"/>
        <w:gridCol w:w="4457"/>
        <w:gridCol w:w="2783"/>
      </w:tblGrid>
      <w:tr w:rsidR="003C592C" w:rsidRPr="00CE1440" w14:paraId="434C33E1" w14:textId="77777777" w:rsidTr="001170E4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815C" w14:textId="29C2A9BA" w:rsidR="003C592C" w:rsidRPr="00CE1440" w:rsidRDefault="003C592C" w:rsidP="003C592C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Наименование оборудования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7039" w14:textId="2BF620BC" w:rsidR="003C592C" w:rsidRPr="00CE1440" w:rsidRDefault="003C592C" w:rsidP="003C592C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b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FCF" w14:textId="77777777" w:rsidR="003C592C" w:rsidRPr="00CE1440" w:rsidRDefault="003C592C" w:rsidP="003C592C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b/>
                <w:lang w:eastAsia="ru-RU"/>
              </w:rPr>
              <w:t>Техническая</w:t>
            </w:r>
          </w:p>
          <w:p w14:paraId="731337AF" w14:textId="2663C4ED" w:rsidR="003C592C" w:rsidRPr="00CE1440" w:rsidRDefault="003C592C" w:rsidP="003C592C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b/>
                <w:lang w:eastAsia="ru-RU"/>
              </w:rPr>
              <w:t>характеристика</w:t>
            </w:r>
          </w:p>
        </w:tc>
      </w:tr>
      <w:tr w:rsidR="003C592C" w:rsidRPr="00CE1440" w14:paraId="6686BC8F" w14:textId="77777777" w:rsidTr="001170E4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BA7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Печь П-102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A473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Змеевик продуктовый 15Х5М, 20Х23Н13 типа Х13, углеродистая сталь. </w:t>
            </w:r>
          </w:p>
          <w:p w14:paraId="78F2C75C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Каркас-кожух: 20Х23Н13, 12Х18Н10Т, 12ХМ, углеродистая сталь.</w:t>
            </w:r>
          </w:p>
          <w:p w14:paraId="14D710BB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Прочие детали и оборудование печи-20Х23Н13, 12Х13, 08Х13, чугун СЧ12-28, углеродистая сталь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9699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Н-17200мм, В-6800мм</w:t>
            </w:r>
          </w:p>
          <w:p w14:paraId="1A033C0F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-10387,5мм</w:t>
            </w:r>
          </w:p>
          <w:p w14:paraId="0923C213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вх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-10кгс/см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2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вых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-50 кгс/см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 xml:space="preserve">2 </w:t>
            </w:r>
          </w:p>
          <w:p w14:paraId="3BD91657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вх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-375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ym w:font="Symbol" w:char="F0B0"/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С, Т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вых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-460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ym w:font="Symbol" w:char="F0B0"/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  <w:p w14:paraId="123ACD5E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Расчетная тепловая нагрузка – 22,6 Гкал/ч</w:t>
            </w:r>
          </w:p>
          <w:p w14:paraId="74E546BE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Температура дымовых газов на перевале-800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ym w:font="Symbol" w:char="F0B0"/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  <w:p w14:paraId="1AD7DEB0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число труб–362</w:t>
            </w:r>
          </w:p>
        </w:tc>
      </w:tr>
    </w:tbl>
    <w:p w14:paraId="38152962" w14:textId="5FC1B948" w:rsidR="003C592C" w:rsidRPr="00CE1440" w:rsidRDefault="003C592C">
      <w:pPr>
        <w:rPr>
          <w:rFonts w:ascii="Times New Roman" w:hAnsi="Times New Roman" w:cs="Times New Roman"/>
        </w:rPr>
      </w:pPr>
    </w:p>
    <w:p w14:paraId="25EDF5EB" w14:textId="35000E64" w:rsidR="00A050D2" w:rsidRPr="00CE1440" w:rsidRDefault="00A050D2">
      <w:pPr>
        <w:rPr>
          <w:rFonts w:ascii="Times New Roman" w:hAnsi="Times New Roman" w:cs="Times New Roman"/>
        </w:rPr>
      </w:pPr>
    </w:p>
    <w:p w14:paraId="1A94DF27" w14:textId="77777777" w:rsidR="00A050D2" w:rsidRPr="00CE1440" w:rsidRDefault="00A050D2" w:rsidP="00A050D2">
      <w:p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Модели представления знаний: семантические сети. Использование семантических сетей для представления знаний о типовом оборудовании химических производств: реактор Р–106.</w:t>
      </w:r>
    </w:p>
    <w:p w14:paraId="5C419F93" w14:textId="77777777" w:rsidR="00A050D2" w:rsidRPr="00CE1440" w:rsidRDefault="00A050D2" w:rsidP="00A050D2">
      <w:p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  <w:b/>
          <w:bCs/>
        </w:rPr>
        <w:t>Р-106. Эмалированный реактор с рубашкой и нижним спуском.</w:t>
      </w:r>
    </w:p>
    <w:p w14:paraId="5C93C462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Температура – (5-25) °С</w:t>
      </w:r>
    </w:p>
    <w:p w14:paraId="2BE1D8B7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Давление – атмосферное</w:t>
      </w:r>
    </w:p>
    <w:p w14:paraId="1243BAA7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Рабочая среда – высокотоксичная, пожароопасная</w:t>
      </w:r>
    </w:p>
    <w:p w14:paraId="4B5C47CC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Плотность реакционной среды (кг/м3) – 1000-1100</w:t>
      </w:r>
    </w:p>
    <w:p w14:paraId="2E3B409E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Вязкость реакционной среды (</w:t>
      </w:r>
      <w:proofErr w:type="spellStart"/>
      <w:r w:rsidRPr="00CE1440">
        <w:rPr>
          <w:rFonts w:ascii="Times New Roman" w:hAnsi="Times New Roman" w:cs="Times New Roman"/>
        </w:rPr>
        <w:t>сП</w:t>
      </w:r>
      <w:proofErr w:type="spellEnd"/>
      <w:r w:rsidRPr="00CE1440">
        <w:rPr>
          <w:rFonts w:ascii="Times New Roman" w:hAnsi="Times New Roman" w:cs="Times New Roman"/>
        </w:rPr>
        <w:t>) – 1,0550</w:t>
      </w:r>
    </w:p>
    <w:p w14:paraId="322AA944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Теплопроводность (кал/см*сек*Град)</w:t>
      </w:r>
    </w:p>
    <w:p w14:paraId="29AC7490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Коэффициент теплопередачи (ккал/м2*ч*Град) – 300-450</w:t>
      </w:r>
    </w:p>
    <w:p w14:paraId="58009081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Удельная теплоемкость (ккал/кг*Град) – 1,0-1,1</w:t>
      </w:r>
    </w:p>
    <w:p w14:paraId="28B476B0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Длительность процесса (ч) – 0,5</w:t>
      </w:r>
    </w:p>
    <w:p w14:paraId="2E39FEE7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Длительность цикла (ч) – 1</w:t>
      </w:r>
    </w:p>
    <w:p w14:paraId="01F4A9E8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Код оборудования –</w:t>
      </w:r>
      <w:proofErr w:type="spellStart"/>
      <w:r w:rsidRPr="00CE1440">
        <w:rPr>
          <w:rFonts w:ascii="Times New Roman" w:hAnsi="Times New Roman" w:cs="Times New Roman"/>
        </w:rPr>
        <w:t>СЭрнв</w:t>
      </w:r>
      <w:proofErr w:type="spellEnd"/>
      <w:r w:rsidRPr="00CE1440">
        <w:rPr>
          <w:rFonts w:ascii="Times New Roman" w:hAnsi="Times New Roman" w:cs="Times New Roman"/>
        </w:rPr>
        <w:t xml:space="preserve"> – 6.3-2-12-03; ОКП 361544928101</w:t>
      </w:r>
    </w:p>
    <w:p w14:paraId="2226CF6C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Объем аппарата (л) – 6300</w:t>
      </w:r>
    </w:p>
    <w:p w14:paraId="45F0272C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Коэффициент заполнения – 0,64</w:t>
      </w:r>
    </w:p>
    <w:p w14:paraId="291B91A9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Тип мешалки – якорная</w:t>
      </w:r>
    </w:p>
    <w:p w14:paraId="21AFCF99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Интенсивность перемешивания (об/мин) – 40-100</w:t>
      </w:r>
    </w:p>
    <w:p w14:paraId="5E34D9E2" w14:textId="77777777" w:rsidR="00A050D2" w:rsidRPr="00CE1440" w:rsidRDefault="00A050D2">
      <w:pPr>
        <w:rPr>
          <w:rFonts w:ascii="Times New Roman" w:hAnsi="Times New Roman" w:cs="Times New Roman"/>
        </w:rPr>
      </w:pPr>
    </w:p>
    <w:sectPr w:rsidR="00A050D2" w:rsidRPr="00CE1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B0570"/>
    <w:multiLevelType w:val="hybridMultilevel"/>
    <w:tmpl w:val="AD6ED7FC"/>
    <w:lvl w:ilvl="0" w:tplc="8B90A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49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0AE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B09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228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C7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6A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E1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E3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2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2C"/>
    <w:rsid w:val="003C592C"/>
    <w:rsid w:val="005529BD"/>
    <w:rsid w:val="00A050D2"/>
    <w:rsid w:val="00CE1440"/>
    <w:rsid w:val="00E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7205"/>
  <w15:chartTrackingRefBased/>
  <w15:docId w15:val="{3964A593-53C5-4FD5-941B-F6D80D0D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9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6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14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20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2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5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9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3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59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2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5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33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8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00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2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51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Mikhaylova</dc:creator>
  <cp:keywords/>
  <dc:description/>
  <cp:lastModifiedBy>Pavla Mikhaylova</cp:lastModifiedBy>
  <cp:revision>3</cp:revision>
  <dcterms:created xsi:type="dcterms:W3CDTF">2021-03-11T18:23:00Z</dcterms:created>
  <dcterms:modified xsi:type="dcterms:W3CDTF">2022-10-03T17:37:00Z</dcterms:modified>
</cp:coreProperties>
</file>