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Strategy: Repco.com.au Front-End Revamp</w:t>
      </w:r>
    </w:p>
    <w:p>
      <w:pPr>
        <w:pStyle w:val="Heading1"/>
      </w:pPr>
      <w:r>
        <w:t>1. Introduction</w:t>
      </w:r>
    </w:p>
    <w:p>
      <w:r>
        <w:t>This document outlines the test strategy for the comprehensive front-end revamp of repco.com.au. The objective is to transition the entire website to a React-based architecture using GraphQL to communicate with SAP CCv2 and Contentful.</w:t>
      </w:r>
    </w:p>
    <w:p>
      <w:pPr>
        <w:pStyle w:val="Heading1"/>
      </w:pPr>
      <w:r>
        <w:t>2. Scope</w:t>
      </w:r>
    </w:p>
    <w:p>
      <w:r>
        <w:t>The entire website is in scope, including but not limited to:</w:t>
      </w:r>
    </w:p>
    <w:p>
      <w:pPr>
        <w:pStyle w:val="ListBullet"/>
      </w:pPr>
      <w:r>
        <w:t>Product Discovery &amp; Catalog</w:t>
      </w:r>
    </w:p>
    <w:p>
      <w:pPr>
        <w:pStyle w:val="ListBullet"/>
      </w:pPr>
      <w:r>
        <w:t>Shopping Cart &amp; Checkout (PayPal, Afterpay, Zip, Credit Card)</w:t>
      </w:r>
    </w:p>
    <w:p>
      <w:pPr>
        <w:pStyle w:val="ListBullet"/>
      </w:pPr>
      <w:r>
        <w:t>User Accounts &amp; Loyalty Integration</w:t>
      </w:r>
    </w:p>
    <w:p>
      <w:pPr>
        <w:pStyle w:val="ListBullet"/>
      </w:pPr>
      <w:r>
        <w:t>Content-driven pages via Contentful</w:t>
      </w:r>
    </w:p>
    <w:p>
      <w:pPr>
        <w:pStyle w:val="Heading1"/>
      </w:pPr>
      <w:r>
        <w:t>3. Architectural Representation</w:t>
      </w:r>
    </w:p>
    <w:p>
      <w:r>
        <w:t>Modern Headless Architecture:</w:t>
      </w:r>
    </w:p>
    <w:p>
      <w:pPr>
        <w:pStyle w:val="IntenseQuote"/>
      </w:pPr>
      <w:r>
        <w:t>React Front-End &lt;--&gt; GraphQL Layer &lt;--&gt; SAP CCv2 (Commerce) / Contentful (CMS)</w:t>
      </w:r>
    </w:p>
    <w:p>
      <w:r>
        <w:t>External APIs: Payment Gateways (PayPal, Afterpay, Zip pay)</w:t>
      </w:r>
    </w:p>
    <w:p>
      <w:pPr>
        <w:pStyle w:val="Heading1"/>
      </w:pPr>
      <w:r>
        <w:t>4. Environment &amp; Data Management</w:t>
      </w:r>
    </w:p>
    <w:p>
      <w:r>
        <w:t>Stage Environment: Connected to SAP Sandboxes for real-time data validation.</w:t>
      </w:r>
    </w:p>
    <w:p>
      <w:r>
        <w:t>Data: Synthetic data for PII compliance; SAP sandbox data for product/inventory.</w:t>
      </w:r>
    </w:p>
    <w:p>
      <w:pPr>
        <w:pStyle w:val="Heading1"/>
      </w:pPr>
      <w:r>
        <w:t>5. Target Browser &amp; Device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Resolution/Device</w:t>
            </w:r>
          </w:p>
        </w:tc>
        <w:tc>
          <w:tcPr>
            <w:tcW w:type="dxa" w:w="2880"/>
          </w:tcPr>
          <w:p>
            <w:r>
              <w:t>Browsers</w:t>
            </w:r>
          </w:p>
        </w:tc>
      </w:tr>
      <w:tr>
        <w:tc>
          <w:tcPr>
            <w:tcW w:type="dxa" w:w="2880"/>
          </w:tcPr>
          <w:p>
            <w:r>
              <w:t>Desktop</w:t>
            </w:r>
          </w:p>
        </w:tc>
        <w:tc>
          <w:tcPr>
            <w:tcW w:type="dxa" w:w="2880"/>
          </w:tcPr>
          <w:p>
            <w:r>
              <w:t>1920px, 1440px, 1366px</w:t>
            </w:r>
          </w:p>
        </w:tc>
        <w:tc>
          <w:tcPr>
            <w:tcW w:type="dxa" w:w="2880"/>
          </w:tcPr>
          <w:p>
            <w:r>
              <w:t>Chrome, Safari, Firefox</w:t>
            </w:r>
          </w:p>
        </w:tc>
      </w:tr>
      <w:tr>
        <w:tc>
          <w:tcPr>
            <w:tcW w:type="dxa" w:w="2880"/>
          </w:tcPr>
          <w:p>
            <w:r>
              <w:t>Tablet</w:t>
            </w:r>
          </w:p>
        </w:tc>
        <w:tc>
          <w:tcPr>
            <w:tcW w:type="dxa" w:w="2880"/>
          </w:tcPr>
          <w:p>
            <w:r>
              <w:t>iPad (1024px, 768px)</w:t>
            </w:r>
          </w:p>
        </w:tc>
        <w:tc>
          <w:tcPr>
            <w:tcW w:type="dxa" w:w="2880"/>
          </w:tcPr>
          <w:p>
            <w:r>
              <w:t>Safari, Chrome</w:t>
            </w:r>
          </w:p>
        </w:tc>
      </w:tr>
      <w:tr>
        <w:tc>
          <w:tcPr>
            <w:tcW w:type="dxa" w:w="2880"/>
          </w:tcPr>
          <w:p>
            <w:r>
              <w:t>Mobile</w:t>
            </w:r>
          </w:p>
        </w:tc>
        <w:tc>
          <w:tcPr>
            <w:tcW w:type="dxa" w:w="2880"/>
          </w:tcPr>
          <w:p>
            <w:r>
              <w:t>iPhone, Android (414px, 390px, 375px, 360px)</w:t>
            </w:r>
          </w:p>
        </w:tc>
        <w:tc>
          <w:tcPr>
            <w:tcW w:type="dxa" w:w="2880"/>
          </w:tcPr>
          <w:p>
            <w:r>
              <w:t>Safari, Chrome</w:t>
            </w:r>
          </w:p>
        </w:tc>
      </w:tr>
    </w:tbl>
    <w:p>
      <w:pPr>
        <w:pStyle w:val="Heading1"/>
      </w:pPr>
      <w:r>
        <w:t>6. Test Execution</w:t>
      </w:r>
    </w:p>
    <w:p>
      <w:r>
        <w:t>Automation Framework: Playwright (for cross-browser E2E and component testing).</w:t>
      </w:r>
    </w:p>
    <w:p>
      <w:r>
        <w:t>Accessibility: WCAG 2.1 Level AA compliance checks.</w:t>
      </w:r>
    </w:p>
    <w:p>
      <w:pPr>
        <w:pStyle w:val="Heading1"/>
      </w:pPr>
      <w:r>
        <w:t>7. Project Management</w:t>
      </w:r>
    </w:p>
    <w:p>
      <w:r>
        <w:t>Methodology: Agile Sprints with Phased Rollout.</w:t>
      </w:r>
    </w:p>
    <w:p>
      <w:r>
        <w:t>Defect Management: Jira.</w:t>
      </w:r>
    </w:p>
    <w:p>
      <w:r>
        <w:t>Exit Criteria: Zero P1/P2 open defects; 100% critical path automation pass rate.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