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7A493" w14:textId="77777777" w:rsidR="00562556" w:rsidRDefault="00562556" w:rsidP="00543253">
      <w:pPr>
        <w:ind w:left="720" w:hanging="360"/>
      </w:pPr>
    </w:p>
    <w:p w14:paraId="0D37CA57" w14:textId="1BB7A631" w:rsidR="00562556" w:rsidRDefault="00562556" w:rsidP="00562556">
      <w:pPr>
        <w:pStyle w:val="Prrafodelista"/>
        <w:numPr>
          <w:ilvl w:val="0"/>
          <w:numId w:val="1"/>
        </w:numPr>
        <w:rPr>
          <w:rFonts w:eastAsia="Times New Roman"/>
          <w:b/>
          <w:bCs/>
        </w:rPr>
      </w:pPr>
      <w:r w:rsidRPr="00562556">
        <w:rPr>
          <w:rFonts w:eastAsia="Times New Roman"/>
          <w:b/>
          <w:bCs/>
        </w:rPr>
        <w:t xml:space="preserve">Els </w:t>
      </w:r>
      <w:r>
        <w:rPr>
          <w:rFonts w:eastAsia="Times New Roman"/>
          <w:b/>
          <w:bCs/>
        </w:rPr>
        <w:t>orígens</w:t>
      </w:r>
    </w:p>
    <w:p w14:paraId="419B233B" w14:textId="630E3E82" w:rsidR="00562556" w:rsidRPr="00562556" w:rsidRDefault="00562556" w:rsidP="00562556">
      <w:pPr>
        <w:pStyle w:val="Prrafodelista"/>
      </w:pPr>
      <w:r w:rsidRPr="00543253">
        <w:t>Des de principis del segle XX va ser un centre clau de producció energètica que alimentava la indústria del Barcelonès Nord</w:t>
      </w:r>
      <w:r>
        <w:t>.</w:t>
      </w:r>
    </w:p>
    <w:p w14:paraId="406C55E0" w14:textId="77777777" w:rsidR="00562556" w:rsidRPr="00562556" w:rsidRDefault="00562556" w:rsidP="00562556">
      <w:pPr>
        <w:pStyle w:val="Prrafodelista"/>
        <w:rPr>
          <w:b/>
          <w:bCs/>
        </w:rPr>
      </w:pPr>
    </w:p>
    <w:p w14:paraId="305A2F1E" w14:textId="618223C3" w:rsidR="00562556" w:rsidRDefault="00562556" w:rsidP="00562556">
      <w:pPr>
        <w:pStyle w:val="Prrafodelista"/>
        <w:numPr>
          <w:ilvl w:val="0"/>
          <w:numId w:val="1"/>
        </w:numPr>
        <w:rPr>
          <w:rFonts w:eastAsia="Times New Roman"/>
          <w:b/>
          <w:bCs/>
        </w:rPr>
      </w:pPr>
      <w:r w:rsidRPr="00562556">
        <w:rPr>
          <w:rFonts w:eastAsia="Times New Roman"/>
          <w:b/>
          <w:bCs/>
        </w:rPr>
        <w:t>La producció.</w:t>
      </w:r>
    </w:p>
    <w:p w14:paraId="7D3EAEE8" w14:textId="15147123" w:rsidR="00562556" w:rsidRPr="00562556" w:rsidRDefault="00562556" w:rsidP="00562556">
      <w:pPr>
        <w:ind w:left="708"/>
        <w:rPr>
          <w:rFonts w:eastAsia="Times New Roman"/>
        </w:rPr>
      </w:pPr>
      <w:r>
        <w:rPr>
          <w:rFonts w:eastAsia="Times New Roman"/>
        </w:rPr>
        <w:t>El creixement de les necessitats d’energia en paral·lel a la industrialització, demografia i immigració van portar a la necessitat de construir les Tres Xemeneies tal i com les coneixem a principis dels anys 70. Es pot parlar de les conseqüències mediambientals i de les lluites veïnals.</w:t>
      </w:r>
    </w:p>
    <w:p w14:paraId="0ECE5EA1" w14:textId="6C2ED1BC" w:rsidR="00562556" w:rsidRPr="00562556" w:rsidRDefault="00562556" w:rsidP="00562556">
      <w:pPr>
        <w:pStyle w:val="Prrafodelista"/>
        <w:numPr>
          <w:ilvl w:val="0"/>
          <w:numId w:val="1"/>
        </w:numPr>
        <w:rPr>
          <w:rFonts w:eastAsia="Times New Roman"/>
          <w:b/>
          <w:bCs/>
        </w:rPr>
      </w:pPr>
      <w:r w:rsidRPr="00562556">
        <w:rPr>
          <w:rFonts w:eastAsia="Times New Roman"/>
          <w:b/>
          <w:bCs/>
        </w:rPr>
        <w:t>El tancament.</w:t>
      </w:r>
    </w:p>
    <w:p w14:paraId="025F1233" w14:textId="22AA2955" w:rsidR="00562556" w:rsidRPr="00562556" w:rsidRDefault="00562556" w:rsidP="00562556">
      <w:pPr>
        <w:ind w:left="708"/>
        <w:rPr>
          <w:rFonts w:eastAsia="Times New Roman"/>
        </w:rPr>
      </w:pPr>
      <w:r>
        <w:rPr>
          <w:rFonts w:eastAsia="Times New Roman"/>
        </w:rPr>
        <w:t>A principis del segle XX es va proposar passar a una tecnologia de cicle combinat, menys contaminant i més eficient el que va conduir al tancament definitiu el 2011.</w:t>
      </w:r>
    </w:p>
    <w:p w14:paraId="1E10F9F7" w14:textId="6026F5DA" w:rsidR="00562556" w:rsidRPr="00562556" w:rsidRDefault="00562556" w:rsidP="00562556">
      <w:pPr>
        <w:pStyle w:val="Prrafodelista"/>
        <w:numPr>
          <w:ilvl w:val="0"/>
          <w:numId w:val="1"/>
        </w:numPr>
        <w:rPr>
          <w:rFonts w:eastAsia="Times New Roman"/>
          <w:b/>
          <w:bCs/>
        </w:rPr>
      </w:pPr>
      <w:r w:rsidRPr="00562556">
        <w:rPr>
          <w:rFonts w:eastAsia="Times New Roman"/>
          <w:b/>
          <w:bCs/>
        </w:rPr>
        <w:t>La reivindicació ciutadana.</w:t>
      </w:r>
    </w:p>
    <w:p w14:paraId="4C05D3D3" w14:textId="4412C7A9" w:rsidR="00562556" w:rsidRPr="00562556" w:rsidRDefault="00562556" w:rsidP="006528E8">
      <w:pPr>
        <w:ind w:left="708"/>
        <w:rPr>
          <w:rFonts w:eastAsia="Times New Roman"/>
        </w:rPr>
      </w:pPr>
      <w:r>
        <w:rPr>
          <w:rFonts w:eastAsia="Times New Roman"/>
        </w:rPr>
        <w:t>Fruit de l’anunci de tancament va sorgir un moviment ciutadà que reivindicava el manteniment de les Xemeneies. Aquest fet va conduir a la celebració d’un referèndum i la posterior declaració del conjunt com a BCIL.</w:t>
      </w:r>
    </w:p>
    <w:p w14:paraId="0C524A68" w14:textId="2B52FB58" w:rsidR="00562556" w:rsidRPr="006528E8" w:rsidRDefault="00562556" w:rsidP="00562556">
      <w:pPr>
        <w:pStyle w:val="Prrafodelista"/>
        <w:numPr>
          <w:ilvl w:val="0"/>
          <w:numId w:val="1"/>
        </w:numPr>
        <w:rPr>
          <w:rFonts w:eastAsia="Times New Roman"/>
          <w:b/>
          <w:bCs/>
        </w:rPr>
      </w:pPr>
      <w:r w:rsidRPr="006528E8">
        <w:rPr>
          <w:rFonts w:eastAsia="Times New Roman"/>
          <w:b/>
          <w:bCs/>
        </w:rPr>
        <w:t>El projecte de futur</w:t>
      </w:r>
    </w:p>
    <w:p w14:paraId="58EF629A" w14:textId="6C263526" w:rsidR="00562556" w:rsidRPr="00562556" w:rsidRDefault="00562556" w:rsidP="006528E8">
      <w:pPr>
        <w:ind w:left="708"/>
        <w:rPr>
          <w:rFonts w:eastAsia="Times New Roman"/>
        </w:rPr>
      </w:pPr>
      <w:r>
        <w:rPr>
          <w:rFonts w:eastAsia="Times New Roman"/>
        </w:rPr>
        <w:t>Des del seu tancament, s’ha buscat un projecte per al desenvolupament de l’espai</w:t>
      </w:r>
      <w:r w:rsidR="006528E8">
        <w:rPr>
          <w:rFonts w:eastAsia="Times New Roman"/>
        </w:rPr>
        <w:t xml:space="preserve"> que ha cristal·litzat en el PDU del Sector i l’impuls del Catalunya Media City, </w:t>
      </w:r>
      <w:proofErr w:type="spellStart"/>
      <w:r w:rsidR="006528E8">
        <w:rPr>
          <w:rFonts w:eastAsia="Times New Roman"/>
        </w:rPr>
        <w:t>hub</w:t>
      </w:r>
      <w:proofErr w:type="spellEnd"/>
      <w:r w:rsidR="006528E8">
        <w:rPr>
          <w:rFonts w:eastAsia="Times New Roman"/>
        </w:rPr>
        <w:t xml:space="preserve"> de l’audiovisual, el digital i el videojoc.</w:t>
      </w:r>
    </w:p>
    <w:p w14:paraId="4BFD2ACF" w14:textId="132CE690" w:rsidR="00562556" w:rsidRPr="006528E8" w:rsidRDefault="00562556" w:rsidP="00562556">
      <w:pPr>
        <w:pStyle w:val="Prrafodelista"/>
        <w:numPr>
          <w:ilvl w:val="0"/>
          <w:numId w:val="1"/>
        </w:numPr>
        <w:rPr>
          <w:rFonts w:eastAsia="Times New Roman"/>
          <w:b/>
          <w:bCs/>
        </w:rPr>
      </w:pPr>
      <w:r w:rsidRPr="006528E8">
        <w:rPr>
          <w:rFonts w:eastAsia="Times New Roman"/>
          <w:b/>
          <w:bCs/>
        </w:rPr>
        <w:t>La Nau de turbines</w:t>
      </w:r>
    </w:p>
    <w:p w14:paraId="5A79C097" w14:textId="24C201E6" w:rsidR="006528E8" w:rsidRPr="006528E8" w:rsidRDefault="006528E8" w:rsidP="006528E8">
      <w:pPr>
        <w:ind w:left="708"/>
        <w:rPr>
          <w:rFonts w:eastAsia="Times New Roman"/>
        </w:rPr>
      </w:pPr>
      <w:r>
        <w:rPr>
          <w:rFonts w:eastAsia="Times New Roman"/>
        </w:rPr>
        <w:t xml:space="preserve">L’epicentre del </w:t>
      </w:r>
      <w:proofErr w:type="spellStart"/>
      <w:r>
        <w:rPr>
          <w:rFonts w:eastAsia="Times New Roman"/>
        </w:rPr>
        <w:t>hub</w:t>
      </w:r>
      <w:proofErr w:type="spellEnd"/>
      <w:r>
        <w:rPr>
          <w:rFonts w:eastAsia="Times New Roman"/>
        </w:rPr>
        <w:t xml:space="preserve"> serà la Nau de Turbines on es concentraran les activitats relacionades amb la formació, innovació i experiència del </w:t>
      </w:r>
      <w:proofErr w:type="spellStart"/>
      <w:r>
        <w:rPr>
          <w:rFonts w:eastAsia="Times New Roman"/>
        </w:rPr>
        <w:t>hub</w:t>
      </w:r>
      <w:proofErr w:type="spellEnd"/>
      <w:r>
        <w:rPr>
          <w:rFonts w:eastAsia="Times New Roman"/>
        </w:rPr>
        <w:t xml:space="preserve"> audiovisual. El projecte arquitectònic està sent realitzat pels despatxos Garcés De Seta Bonet i </w:t>
      </w:r>
      <w:proofErr w:type="spellStart"/>
      <w:r>
        <w:rPr>
          <w:rFonts w:eastAsia="Times New Roman"/>
        </w:rPr>
        <w:t>Marvel</w:t>
      </w:r>
      <w:proofErr w:type="spellEnd"/>
      <w:r>
        <w:rPr>
          <w:rFonts w:eastAsia="Times New Roman"/>
        </w:rPr>
        <w:t xml:space="preserve"> Architects.</w:t>
      </w:r>
    </w:p>
    <w:p w14:paraId="4A60156D" w14:textId="5CD14C58" w:rsidR="00562556" w:rsidRDefault="00562556" w:rsidP="00562556">
      <w:pPr>
        <w:pStyle w:val="Prrafodelista"/>
        <w:numPr>
          <w:ilvl w:val="0"/>
          <w:numId w:val="1"/>
        </w:numPr>
        <w:rPr>
          <w:rFonts w:eastAsia="Times New Roman"/>
          <w:b/>
          <w:bCs/>
        </w:rPr>
      </w:pPr>
      <w:r w:rsidRPr="006528E8">
        <w:rPr>
          <w:rFonts w:eastAsia="Times New Roman"/>
          <w:b/>
          <w:bCs/>
        </w:rPr>
        <w:t>L’espai de memòria</w:t>
      </w:r>
    </w:p>
    <w:p w14:paraId="6ED454EA" w14:textId="15DF310E" w:rsidR="006528E8" w:rsidRPr="006528E8" w:rsidRDefault="006528E8" w:rsidP="006528E8">
      <w:pPr>
        <w:ind w:left="708"/>
        <w:rPr>
          <w:rFonts w:eastAsia="Times New Roman"/>
        </w:rPr>
      </w:pPr>
      <w:r w:rsidRPr="006528E8">
        <w:rPr>
          <w:rFonts w:eastAsia="Times New Roman"/>
        </w:rPr>
        <w:t xml:space="preserve">En el marc general del projecte es destinarà un espai per a la creació d’un espai de memòria </w:t>
      </w:r>
      <w:r>
        <w:rPr>
          <w:rFonts w:eastAsia="Times New Roman"/>
        </w:rPr>
        <w:t>dedicat a la història de l’espai lligada a la industrialització del Barcelonès Nord i les reivindicacions ciutadanes.</w:t>
      </w:r>
    </w:p>
    <w:sectPr w:rsidR="006528E8" w:rsidRPr="006528E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925882"/>
    <w:multiLevelType w:val="hybridMultilevel"/>
    <w:tmpl w:val="93E09778"/>
    <w:lvl w:ilvl="0" w:tplc="2A9C0D0A">
      <w:numFmt w:val="bullet"/>
      <w:lvlText w:val="-"/>
      <w:lvlJc w:val="left"/>
      <w:pPr>
        <w:ind w:left="720" w:hanging="360"/>
      </w:pPr>
      <w:rPr>
        <w:rFonts w:ascii="Aptos" w:eastAsia="Aptos" w:hAnsi="Aptos" w:cs="Times New Roman" w:hint="default"/>
      </w:rPr>
    </w:lvl>
    <w:lvl w:ilvl="1" w:tplc="040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D16F3E"/>
    <w:multiLevelType w:val="hybridMultilevel"/>
    <w:tmpl w:val="ED22DC68"/>
    <w:lvl w:ilvl="0" w:tplc="0298F4A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30019">
      <w:start w:val="1"/>
      <w:numFmt w:val="lowerLetter"/>
      <w:lvlText w:val="%2."/>
      <w:lvlJc w:val="left"/>
      <w:pPr>
        <w:ind w:left="1440" w:hanging="360"/>
      </w:pPr>
    </w:lvl>
    <w:lvl w:ilvl="2" w:tplc="0403001B">
      <w:start w:val="1"/>
      <w:numFmt w:val="lowerRoman"/>
      <w:lvlText w:val="%3."/>
      <w:lvlJc w:val="right"/>
      <w:pPr>
        <w:ind w:left="2160" w:hanging="180"/>
      </w:pPr>
    </w:lvl>
    <w:lvl w:ilvl="3" w:tplc="0403000F">
      <w:start w:val="1"/>
      <w:numFmt w:val="decimal"/>
      <w:lvlText w:val="%4."/>
      <w:lvlJc w:val="left"/>
      <w:pPr>
        <w:ind w:left="2880" w:hanging="360"/>
      </w:pPr>
    </w:lvl>
    <w:lvl w:ilvl="4" w:tplc="04030019">
      <w:start w:val="1"/>
      <w:numFmt w:val="lowerLetter"/>
      <w:lvlText w:val="%5."/>
      <w:lvlJc w:val="left"/>
      <w:pPr>
        <w:ind w:left="3600" w:hanging="360"/>
      </w:pPr>
    </w:lvl>
    <w:lvl w:ilvl="5" w:tplc="0403001B">
      <w:start w:val="1"/>
      <w:numFmt w:val="lowerRoman"/>
      <w:lvlText w:val="%6."/>
      <w:lvlJc w:val="right"/>
      <w:pPr>
        <w:ind w:left="4320" w:hanging="180"/>
      </w:pPr>
    </w:lvl>
    <w:lvl w:ilvl="6" w:tplc="0403000F">
      <w:start w:val="1"/>
      <w:numFmt w:val="decimal"/>
      <w:lvlText w:val="%7."/>
      <w:lvlJc w:val="left"/>
      <w:pPr>
        <w:ind w:left="5040" w:hanging="360"/>
      </w:pPr>
    </w:lvl>
    <w:lvl w:ilvl="7" w:tplc="04030019">
      <w:start w:val="1"/>
      <w:numFmt w:val="lowerLetter"/>
      <w:lvlText w:val="%8."/>
      <w:lvlJc w:val="left"/>
      <w:pPr>
        <w:ind w:left="5760" w:hanging="360"/>
      </w:pPr>
    </w:lvl>
    <w:lvl w:ilvl="8" w:tplc="0403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23274407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6447018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253"/>
    <w:rsid w:val="000D13C2"/>
    <w:rsid w:val="0032022E"/>
    <w:rsid w:val="003A04EC"/>
    <w:rsid w:val="00421E8F"/>
    <w:rsid w:val="00543253"/>
    <w:rsid w:val="00562556"/>
    <w:rsid w:val="006528E8"/>
    <w:rsid w:val="008C7518"/>
    <w:rsid w:val="008D2DD4"/>
    <w:rsid w:val="0098493B"/>
    <w:rsid w:val="00BA4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A69D46"/>
  <w15:chartTrackingRefBased/>
  <w15:docId w15:val="{B6AC3DAE-F47F-4A96-9A79-E16F8E266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a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432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432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432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432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432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432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432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432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432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432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432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432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4325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4325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4325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4325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4325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4325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432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432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432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432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432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4325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4325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4325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432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4325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432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 Version="15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63F6F8494758948AEAB031D720AA5A3" ma:contentTypeVersion="14" ma:contentTypeDescription="Create a new document." ma:contentTypeScope="" ma:versionID="5fd8dbe8edc1f5905ba01d9b52c38059">
  <xsd:schema xmlns:xsd="http://www.w3.org/2001/XMLSchema" xmlns:xs="http://www.w3.org/2001/XMLSchema" xmlns:p="http://schemas.microsoft.com/office/2006/metadata/properties" xmlns:ns2="d90da733-b725-45b2-b56a-20fc5398cd8b" xmlns:ns3="705b5f4b-26e4-4c8f-89e0-12ffa43d5be5" targetNamespace="http://schemas.microsoft.com/office/2006/metadata/properties" ma:root="true" ma:fieldsID="2e63217e93abcfd9bc5c7cb65ce89b1f" ns2:_="" ns3:_="">
    <xsd:import namespace="d90da733-b725-45b2-b56a-20fc5398cd8b"/>
    <xsd:import namespace="705b5f4b-26e4-4c8f-89e0-12ffa43d5be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0da733-b725-45b2-b56a-20fc5398cd8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a7f05f76-7d54-4fc9-82a1-33b4f3b2192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5b5f4b-26e4-4c8f-89e0-12ffa43d5be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e13810c-e25a-484a-bf9f-4446ed118052}" ma:internalName="TaxCatchAll" ma:showField="CatchAllData" ma:web="705b5f4b-26e4-4c8f-89e0-12ffa43d5be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05b5f4b-26e4-4c8f-89e0-12ffa43d5be5" xsi:nil="true"/>
    <lcf76f155ced4ddcb4097134ff3c332f xmlns="d90da733-b725-45b2-b56a-20fc5398cd8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CCFB160-415C-405D-8348-8B4118CDEF6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81EE787-813F-4F06-B719-89143508A30D}"/>
</file>

<file path=customXml/itemProps3.xml><?xml version="1.0" encoding="utf-8"?>
<ds:datastoreItem xmlns:ds="http://schemas.openxmlformats.org/officeDocument/2006/customXml" ds:itemID="{15C69504-BE85-4071-AECB-907FF5D49429}"/>
</file>

<file path=customXml/itemProps4.xml><?xml version="1.0" encoding="utf-8"?>
<ds:datastoreItem xmlns:ds="http://schemas.openxmlformats.org/officeDocument/2006/customXml" ds:itemID="{C50F2640-4E29-4882-9E77-F0AA2B0D0A9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238</Words>
  <Characters>1361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 López</dc:creator>
  <cp:keywords/>
  <dc:description/>
  <cp:lastModifiedBy>Marc López</cp:lastModifiedBy>
  <cp:revision>2</cp:revision>
  <dcterms:created xsi:type="dcterms:W3CDTF">2026-05-11T11:37:00Z</dcterms:created>
  <dcterms:modified xsi:type="dcterms:W3CDTF">2026-05-11T11:37:00Z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0x010100763F6F8494758948AEAB031D720AA5A3</vt:lpwstr>
  </property>
</Properties>
</file>