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DFD Essencial para cada capacidade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Cliente solicita disponibilidade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876425" cy="3000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Capacidade: </w:t>
      </w:r>
      <w:r w:rsidDel="00000000" w:rsidR="00000000" w:rsidRPr="00000000">
        <w:rPr>
          <w:rtl w:val="0"/>
        </w:rPr>
        <w:t xml:space="preserve">Realizar pedido de compra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85975" cy="2876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Capacidade: </w:t>
      </w:r>
      <w:r w:rsidDel="00000000" w:rsidR="00000000" w:rsidRPr="00000000">
        <w:rPr>
          <w:rtl w:val="0"/>
        </w:rPr>
        <w:t xml:space="preserve">Realizar pagamento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981200" cy="29051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Capacidade: </w:t>
      </w:r>
      <w:r w:rsidDel="00000000" w:rsidR="00000000" w:rsidRPr="00000000">
        <w:rPr>
          <w:rtl w:val="0"/>
        </w:rPr>
        <w:t xml:space="preserve">Solicitar prazo de entrega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609725" cy="2857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Capacidade: </w:t>
      </w:r>
      <w:r w:rsidDel="00000000" w:rsidR="00000000" w:rsidRPr="00000000">
        <w:rPr>
          <w:rtl w:val="0"/>
        </w:rPr>
        <w:t xml:space="preserve">Entregar pedido de compra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000250" cy="28003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