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ARTEFATO 18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dos Processos de Negócios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Realizar cadastro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cadastra dados para compra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Loja Online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● Para cliente conseguir realizar a compra, é preciso criar um cadastro no site para que a loja online possa processar os dados do mesmo.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○ Se o cadastro não for efetuado, cliente não conseguirá comprar produtos.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Comprar produtos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escolhe produtos para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Loja online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● Site processa a escolha de produtos do cliente para inserir no carrinho de compras.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Realizar compra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confirma compra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Loja online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● Cliente tem a escolha de continuar a selecionar produtos ou finalizar realização da compra atual.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○ Se o cliente não querer finalizar compra o site lhe encaminhará e-mails para que volte a finalizar compra.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Forma de pagamento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realiza escolha de forma de pagamento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Loja online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● Site oferece as formas de pagamento para o cliente seguir com a finalização da compra.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Confere pedido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Funcionário verifica produtos a serem enviados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● Funcionário manda confeccionar o pedido e confere se está correto.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Enviar produto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Funcionário </w:t>
      </w:r>
      <w:r w:rsidDel="00000000" w:rsidR="00000000" w:rsidRPr="00000000">
        <w:rPr>
          <w:rtl w:val="0"/>
        </w:rPr>
        <w:t xml:space="preserve">encaminha</w:t>
      </w:r>
      <w:r w:rsidDel="00000000" w:rsidR="00000000" w:rsidRPr="00000000">
        <w:rPr>
          <w:rtl w:val="0"/>
        </w:rPr>
        <w:t xml:space="preserve"> produtos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● Funcionário encaminha os pedidos de acordo com cada cliente.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● Funcionário envia informações para o cliente informando que o pedido está a caminho.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