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mbria" w:cs="Cambria" w:eastAsia="Cambria" w:hAnsi="Cambria"/>
          <w:b/>
          <w:bCs/>
          <w:color w:val="1A3C5E"/>
          <w:sz w:val="48"/>
          <w:szCs w:val="48"/>
        </w:rPr>
        <w:t xml:space="preserve">Geometric Fault Localization in</w:t>
      </w:r>
    </w:p>
    <w:p>
      <w:pPr>
        <w:spacing w:after="200"/>
        <w:jc w:val="center"/>
      </w:pPr>
      <w:r>
        <w:rPr>
          <w:rFonts w:ascii="Cambria" w:cs="Cambria" w:eastAsia="Cambria" w:hAnsi="Cambria"/>
          <w:b/>
          <w:bCs/>
          <w:color w:val="1A3C5E"/>
          <w:sz w:val="48"/>
          <w:szCs w:val="48"/>
        </w:rPr>
        <w:t xml:space="preserve">Photonic Computing Meshes</w:t>
      </w:r>
    </w:p>
    <w:p>
      <w:pPr>
        <w:spacing w:after="100"/>
        <w:jc w:val="center"/>
      </w:pPr>
      <w:r>
        <w:rPr>
          <w:rFonts w:ascii="Cambria" w:cs="Cambria" w:eastAsia="Cambria" w:hAnsi="Cambria"/>
          <w:color w:val="555555"/>
          <w:sz w:val="28"/>
          <w:szCs w:val="28"/>
        </w:rPr>
        <w:t xml:space="preserve">Using Gaussian Curvature of the Coupled-Mode Constraint Surface</w:t>
      </w:r>
    </w:p>
    <w:p>
      <w:pPr>
        <w:spacing w:before="600"/>
      </w:pPr>
    </w:p>
    <w:p>
      <w:pPr>
        <w:spacing w:after="80"/>
        <w:jc w:val="center"/>
      </w:pPr>
      <w:r>
        <w:rPr>
          <w:rFonts w:ascii="Cambria" w:cs="Cambria" w:eastAsia="Cambria" w:hAnsi="Cambria"/>
          <w:sz w:val="26"/>
          <w:szCs w:val="26"/>
        </w:rPr>
        <w:t xml:space="preserve">William Lloyd</w:t>
      </w:r>
    </w:p>
    <w:p>
      <w:pPr>
        <w:spacing w:after="300"/>
        <w:jc w:val="center"/>
      </w:pPr>
      <w:r>
        <w:rPr>
          <w:rFonts w:ascii="Cambria" w:cs="Cambria" w:eastAsia="Cambria" w:hAnsi="Cambria"/>
          <w:color w:val="666666"/>
          <w:sz w:val="22"/>
          <w:szCs w:val="22"/>
        </w:rPr>
        <w:t xml:space="preserve">Sydney, NSW, Australia</w:t>
      </w:r>
    </w:p>
    <w:p>
      <w:pPr>
        <w:spacing w:after="80"/>
        <w:jc w:val="center"/>
      </w:pPr>
      <w:r>
        <w:rPr>
          <w:rFonts w:ascii="Cambria" w:cs="Cambria" w:eastAsia="Cambria" w:hAnsi="Cambria"/>
          <w:color w:val="888888"/>
          <w:sz w:val="22"/>
          <w:szCs w:val="22"/>
        </w:rPr>
        <w:t xml:space="preserve">April 2026</w:t>
      </w:r>
    </w:p>
    <w:p>
      <w:pPr>
        <w:spacing w:after="80"/>
        <w:jc w:val="center"/>
      </w:pPr>
      <w:r>
        <w:rPr>
          <w:rFonts w:ascii="Cambria" w:cs="Cambria" w:eastAsia="Cambria" w:hAnsi="Cambria"/>
          <w:color w:val="888888"/>
          <w:sz w:val="20"/>
          <w:szCs w:val="20"/>
        </w:rPr>
        <w:t xml:space="preserve">Patent: AU 2026902758, AU 2026902926</w:t>
      </w:r>
    </w:p>
    <w:p>
      <w:pPr>
        <w:jc w:val="center"/>
      </w:pPr>
      <w:r>
        <w:rPr>
          <w:rFonts w:ascii="Cambria" w:cs="Cambria" w:eastAsia="Cambria" w:hAnsi="Cambria"/>
          <w:color w:val="888888"/>
          <w:sz w:val="20"/>
          <w:szCs w:val="20"/>
        </w:rPr>
        <w:t xml:space="preserve">Companion to: Theorem 8.1 — Invariant Preservation under Role Transposition</w:t>
      </w:r>
    </w:p>
    <w:p>
      <w:r>
        <w:br w:type="page"/>
      </w:r>
    </w:p>
    <w:p>
      <w:pPr>
        <w:pStyle w:val="Heading1"/>
      </w:pPr>
      <w:r>
        <w:rPr>
          <w:rFonts w:ascii="Cambria" w:cs="Cambria" w:eastAsia="Cambria" w:hAnsi="Cambria"/>
          <w:b/>
          <w:bCs/>
          <w:sz w:val="32"/>
          <w:szCs w:val="32"/>
        </w:rPr>
        <w:t xml:space="preserve">Abstract</w:t>
      </w:r>
    </w:p>
    <w:p>
      <w:pPr>
        <w:spacing w:after="200" w:line="276"/>
      </w:pPr>
      <w:r>
        <w:rPr>
          <w:rFonts w:ascii="Cambria" w:cs="Cambria" w:eastAsia="Cambria" w:hAnsi="Cambria"/>
          <w:sz w:val="22"/>
          <w:szCs w:val="22"/>
        </w:rPr>
        <w:t xml:space="preserve">Splitting ratio errors in directional couplers are the only uncorrectable error source in silicon photonic computing meshes, setting a hard scaling wall at approximately N = 64–256 (Hamerly et al., Nat. Commun. 2022). Current methods cannot identify which Mach-Zehnder interferometer (MZI) in a cascaded mesh is responsible for output degradation — an inverse problem the field has effectively abandoned in favour of fault-tolerant architectures. We present a geometric diagnostic based on the Gaussian curvature (K</w:t>
      </w:r>
      <w:r>
        <w:rPr>
          <w:rFonts w:ascii="Cambria" w:cs="Cambria" w:eastAsia="Cambria" w:hAnsi="Cambria"/>
          <w:i/>
          <w:iCs/>
          <w:sz w:val="22"/>
          <w:szCs w:val="22"/>
        </w:rPr>
        <w:t xml:space="preserve">G</w:t>
      </w:r>
      <w:r>
        <w:rPr>
          <w:rFonts w:ascii="Cambria" w:cs="Cambria" w:eastAsia="Cambria" w:hAnsi="Cambria"/>
          <w:sz w:val="22"/>
          <w:szCs w:val="22"/>
        </w:rPr>
        <w:t xml:space="preserve">) of the coupled-mode theory constraint surface that solves this problem. We prove that K</w:t>
      </w:r>
      <w:r>
        <w:rPr>
          <w:rFonts w:ascii="Cambria" w:cs="Cambria" w:eastAsia="Cambria" w:hAnsi="Cambria"/>
          <w:i/>
          <w:iCs/>
          <w:sz w:val="22"/>
          <w:szCs w:val="22"/>
        </w:rPr>
        <w:t xml:space="preserve">G</w:t>
      </w:r>
      <w:r>
        <w:rPr>
          <w:rFonts w:ascii="Cambria" w:cs="Cambria" w:eastAsia="Cambria" w:hAnsi="Cambria"/>
          <w:sz w:val="22"/>
          <w:szCs w:val="22"/>
        </w:rPr>
        <w:t xml:space="preserve"> = 0 is the unique geometric signature of a perfect 50:50 beam splitter — a symmetry property of the constraint equation, not a calibrated threshold — and that the diagnostic is </w:t>
      </w:r>
      <w:r>
        <w:rPr>
          <w:rFonts w:ascii="Cambria" w:cs="Cambria" w:eastAsia="Cambria" w:hAnsi="Cambria"/>
          <w:b/>
          <w:bCs/>
          <w:sz w:val="22"/>
          <w:szCs w:val="22"/>
        </w:rPr>
        <w:t xml:space="preserve">exactly invariant</w:t>
      </w:r>
      <w:r>
        <w:rPr>
          <w:rFonts w:ascii="Cambria" w:cs="Cambria" w:eastAsia="Cambria" w:hAnsi="Cambria"/>
          <w:sz w:val="22"/>
          <w:szCs w:val="22"/>
        </w:rPr>
        <w:t xml:space="preserve"> under perturbations of the measured output power, because the output enters the constraint linearly (Class 1 structure). This exact invariance makes the method immune to imperfect isolation of adjacent MZIs during testing. On a 4×4 Clements mesh (6 MZIs), the method achieves </w:t>
      </w:r>
      <w:r>
        <w:rPr>
          <w:rFonts w:ascii="Cambria" w:cs="Cambria" w:eastAsia="Cambria" w:hAnsi="Cambria"/>
          <w:b/>
          <w:bCs/>
          <w:sz w:val="22"/>
          <w:szCs w:val="22"/>
        </w:rPr>
        <w:t xml:space="preserve">100% fault localization accuracy (24/24)</w:t>
      </w:r>
      <w:r>
        <w:rPr>
          <w:rFonts w:ascii="Cambria" w:cs="Cambria" w:eastAsia="Cambria" w:hAnsi="Cambria"/>
          <w:sz w:val="22"/>
          <w:szCs w:val="22"/>
        </w:rPr>
        <w:t xml:space="preserve">, correctly identifies </w:t>
      </w:r>
      <w:r>
        <w:rPr>
          <w:rFonts w:ascii="Cambria" w:cs="Cambria" w:eastAsia="Cambria" w:hAnsi="Cambria"/>
          <w:b/>
          <w:bCs/>
          <w:sz w:val="22"/>
          <w:szCs w:val="22"/>
        </w:rPr>
        <w:t xml:space="preserve">multiple simultaneous faults</w:t>
      </w:r>
      <w:r>
        <w:rPr>
          <w:rFonts w:ascii="Cambria" w:cs="Cambria" w:eastAsia="Cambria" w:hAnsi="Cambria"/>
          <w:sz w:val="22"/>
          <w:szCs w:val="22"/>
        </w:rPr>
        <w:t xml:space="preserve">, and detects splitting ratio errors as small as </w:t>
      </w:r>
      <w:r>
        <w:rPr>
          <w:rFonts w:ascii="Cambria" w:cs="Cambria" w:eastAsia="Cambria" w:hAnsi="Cambria"/>
          <w:b/>
          <w:bCs/>
          <w:sz w:val="22"/>
          <w:szCs w:val="22"/>
        </w:rPr>
        <w:t xml:space="preserve">4%</w:t>
      </w:r>
      <w:r>
        <w:rPr>
          <w:rFonts w:ascii="Cambria" w:cs="Cambria" w:eastAsia="Cambria" w:hAnsi="Cambria"/>
          <w:sz w:val="22"/>
          <w:szCs w:val="22"/>
        </w:rPr>
        <w:t xml:space="preserve"> — all in </w:t>
      </w:r>
      <w:r>
        <w:rPr>
          <w:rFonts w:ascii="Cambria" w:cs="Cambria" w:eastAsia="Cambria" w:hAnsi="Cambria"/>
          <w:b/>
          <w:bCs/>
          <w:sz w:val="22"/>
          <w:szCs w:val="22"/>
        </w:rPr>
        <w:t xml:space="preserve">0.04 seconds</w:t>
      </w:r>
      <w:r>
        <w:rPr>
          <w:rFonts w:ascii="Cambria" w:cs="Cambria" w:eastAsia="Cambria" w:hAnsi="Cambria"/>
          <w:sz w:val="22"/>
          <w:szCs w:val="22"/>
        </w:rPr>
        <w:t xml:space="preserve"> of computation. Applied to the Hamerly scaling law ε</w:t>
      </w:r>
      <w:r>
        <w:rPr>
          <w:rFonts w:ascii="Cambria" w:cs="Cambria" w:eastAsia="Cambria" w:hAnsi="Cambria"/>
          <w:i/>
          <w:iCs/>
          <w:sz w:val="22"/>
          <w:szCs w:val="22"/>
        </w:rPr>
        <w:t xml:space="preserve">c</w:t>
      </w:r>
      <w:r>
        <w:rPr>
          <w:rFonts w:ascii="Cambria" w:cs="Cambria" w:eastAsia="Cambria" w:hAnsi="Cambria"/>
          <w:sz w:val="22"/>
          <w:szCs w:val="22"/>
        </w:rPr>
        <w:t xml:space="preserve"> = (2/3)Nσ², screening at this threshold reduces the effective population variance by 7×, </w:t>
      </w:r>
      <w:r>
        <w:rPr>
          <w:rFonts w:ascii="Cambria" w:cs="Cambria" w:eastAsia="Cambria" w:hAnsi="Cambria"/>
          <w:b/>
          <w:bCs/>
          <w:sz w:val="22"/>
          <w:szCs w:val="22"/>
        </w:rPr>
        <w:t xml:space="preserve">raising the practical scaling ceiling from N ≈ 64 to N ≈ 450</w:t>
      </w:r>
      <w:r>
        <w:rPr>
          <w:rFonts w:ascii="Cambria" w:cs="Cambria" w:eastAsia="Cambria" w:hAnsi="Cambria"/>
          <w:sz w:val="22"/>
          <w:szCs w:val="22"/>
        </w:rPr>
        <w:t xml:space="preserve">. A synthetic benchmark of 2,352 directional couplers with 12 fault types achieves AUC = 0.908 at 1% measurement noise, with gap errors and cladding voids detectable at AUC &gt; 0.95. Cross-domain comparison confirms geometric equivalence with quantum Rabi oscillations (RMS = 0.016) and structural distinction from Van der Waals criticality (RMS &gt; 1.0), validating the invariant’s physical content independently of photonic domain knowledge. The method requires no training data, no electromagnetic simulation, no internal optical probes, and no iterative optimisation. We release the first open geometric diagnostic benchmark for silicon photonics under CC BY 4.0.</w:t>
      </w:r>
    </w:p>
    <w:p>
      <w:r>
        <w:br w:type="page"/>
      </w:r>
    </w:p>
    <w:p>
      <w:pPr>
        <w:pStyle w:val="Heading1"/>
      </w:pPr>
      <w:r>
        <w:rPr>
          <w:rFonts w:ascii="Cambria" w:cs="Cambria" w:eastAsia="Cambria" w:hAnsi="Cambria"/>
          <w:b/>
          <w:bCs/>
          <w:sz w:val="32"/>
          <w:szCs w:val="32"/>
        </w:rPr>
        <w:t xml:space="preserve">1. Introduction</w:t>
      </w:r>
    </w:p>
    <w:p>
      <w:pPr>
        <w:spacing w:after="200" w:line="276"/>
      </w:pPr>
      <w:r>
        <w:rPr>
          <w:rFonts w:ascii="Cambria" w:cs="Cambria" w:eastAsia="Cambria" w:hAnsi="Cambria"/>
          <w:sz w:val="22"/>
          <w:szCs w:val="22"/>
        </w:rPr>
        <w:t xml:space="preserve">Silicon photonic computing performs matrix-vector multiplication by routing light through meshes of Mach-Zehnder interferometers (MZIs), each built from two directional couplers and a tunable phase shifter. The phase shifter can be adjusted to compensate for fabrication imperfections in optical path length. The directional coupler's splitting ratio, however, is frozen at fabrication. It depends on the waveguide gap with exponential sensitivity: κ ∝ exp(−γd), where a ±10 nm gap variation causes a 15–30% change in the coupling coefficient.</w:t>
      </w:r>
    </w:p>
    <w:p>
      <w:pPr>
        <w:spacing w:after="200" w:line="276"/>
      </w:pPr>
      <w:r>
        <w:rPr>
          <w:rFonts w:ascii="Cambria" w:cs="Cambria" w:eastAsia="Cambria" w:hAnsi="Cambria"/>
          <w:sz w:val="22"/>
          <w:szCs w:val="22"/>
        </w:rPr>
        <w:t xml:space="preserve">Hamerly, Bandyopadhyay, and Englund (2022) proved that for a standard MZI mesh, the residual matrix error after self-configuration scales as ε</w:t>
      </w:r>
      <w:r>
        <w:rPr>
          <w:rFonts w:ascii="Cambria" w:cs="Cambria" w:eastAsia="Cambria" w:hAnsi="Cambria"/>
          <w:i/>
          <w:iCs/>
          <w:sz w:val="22"/>
          <w:szCs w:val="22"/>
        </w:rPr>
        <w:t xml:space="preserve">c</w:t>
      </w:r>
      <w:r>
        <w:rPr>
          <w:rFonts w:ascii="Cambria" w:cs="Cambria" w:eastAsia="Cambria" w:hAnsi="Cambria"/>
          <w:sz w:val="22"/>
          <w:szCs w:val="22"/>
        </w:rPr>
        <w:t xml:space="preserve"> = (2/3)Nσ², where N is the mesh dimension and σ is the splitting ratio standard deviation. The fraction of achievable unitary transformations collapses exponentially as exp(−N³σ²/3). This establishes a hard scaling wall: at σ = 5% (typical for broadband couplers), practical computation degrades beyond N ≈ 64.</w:t>
      </w:r>
    </w:p>
    <w:p>
      <w:pPr>
        <w:spacing w:after="200" w:line="276"/>
      </w:pPr>
      <w:r>
        <w:rPr>
          <w:rFonts w:ascii="Cambria" w:cs="Cambria" w:eastAsia="Cambria" w:hAnsi="Cambria"/>
          <w:sz w:val="22"/>
          <w:szCs w:val="22"/>
        </w:rPr>
        <w:t xml:space="preserve">The field's response has been architectural: fault-tolerant MZI designs using 3 splitters instead of 2, which achieve asymptotic fault tolerance but require 1.5–2× more components — increasing the very fabrication variability they are designed to tolerate. The alternative — identifying and correcting individual faulty components — has been abandoned because fault localization in large meshes is an ill-posed inverse problem: multiple distinct fault patterns produce indistinguishable output signatures.</w:t>
      </w:r>
    </w:p>
    <w:p>
      <w:pPr>
        <w:spacing w:after="200" w:line="276"/>
      </w:pPr>
      <w:r>
        <w:rPr>
          <w:rFonts w:ascii="Cambria" w:cs="Cambria" w:eastAsia="Cambria" w:hAnsi="Cambria"/>
          <w:sz w:val="22"/>
          <w:szCs w:val="22"/>
        </w:rPr>
        <w:t xml:space="preserve">This paper presents a different approach. Rather than tolerating the uncorrectable error or attempting to invert the mesh response, we compute a geometric invariant — the Gaussian curvature K</w:t>
      </w:r>
      <w:r>
        <w:rPr>
          <w:rFonts w:ascii="Cambria" w:cs="Cambria" w:eastAsia="Cambria" w:hAnsi="Cambria"/>
          <w:i/>
          <w:iCs/>
          <w:sz w:val="22"/>
          <w:szCs w:val="22"/>
        </w:rPr>
        <w:t xml:space="preserve">G</w:t>
      </w:r>
      <w:r>
        <w:rPr>
          <w:rFonts w:ascii="Cambria" w:cs="Cambria" w:eastAsia="Cambria" w:hAnsi="Cambria"/>
          <w:sz w:val="22"/>
          <w:szCs w:val="22"/>
        </w:rPr>
        <w:t xml:space="preserve"> of the coupled-mode theory constraint surface — for each MZI individually. We show that K</w:t>
      </w:r>
      <w:r>
        <w:rPr>
          <w:rFonts w:ascii="Cambria" w:cs="Cambria" w:eastAsia="Cambria" w:hAnsi="Cambria"/>
          <w:i/>
          <w:iCs/>
          <w:sz w:val="22"/>
          <w:szCs w:val="22"/>
        </w:rPr>
        <w:t xml:space="preserve">G</w:t>
      </w:r>
      <w:r>
        <w:rPr>
          <w:rFonts w:ascii="Cambria" w:cs="Cambria" w:eastAsia="Cambria" w:hAnsi="Cambria"/>
          <w:sz w:val="22"/>
          <w:szCs w:val="22"/>
        </w:rPr>
        <w:t xml:space="preserve"> = 0 is the unique geometric signature of a perfect 50:50 beam splitter, and that any splitting ratio error produces a nonzero K</w:t>
      </w:r>
      <w:r>
        <w:rPr>
          <w:rFonts w:ascii="Cambria" w:cs="Cambria" w:eastAsia="Cambria" w:hAnsi="Cambria"/>
          <w:i/>
          <w:iCs/>
          <w:sz w:val="22"/>
          <w:szCs w:val="22"/>
        </w:rPr>
        <w:t xml:space="preserve">G</w:t>
      </w:r>
      <w:r>
        <w:rPr>
          <w:rFonts w:ascii="Cambria" w:cs="Cambria" w:eastAsia="Cambria" w:hAnsi="Cambria"/>
          <w:sz w:val="22"/>
          <w:szCs w:val="22"/>
        </w:rPr>
        <w:t xml:space="preserve"> whose magnitude encodes the error severity. This converts the fault localization problem from an ill-posed inverse problem to a direct, per-component diagnostic that runs in sub-millisecond time.</w:t>
      </w:r>
    </w:p>
    <w:p>
      <w:pPr>
        <w:pStyle w:val="Heading1"/>
      </w:pPr>
      <w:r>
        <w:rPr>
          <w:rFonts w:ascii="Cambria" w:cs="Cambria" w:eastAsia="Cambria" w:hAnsi="Cambria"/>
          <w:b/>
          <w:bCs/>
          <w:sz w:val="32"/>
          <w:szCs w:val="32"/>
        </w:rPr>
        <w:t xml:space="preserve">2. Theoretical Framework</w:t>
      </w:r>
    </w:p>
    <w:p>
      <w:pPr>
        <w:pStyle w:val="Heading2"/>
      </w:pPr>
      <w:r>
        <w:rPr>
          <w:rFonts w:ascii="Cambria" w:cs="Cambria" w:eastAsia="Cambria" w:hAnsi="Cambria"/>
          <w:b/>
          <w:bCs/>
          <w:sz w:val="26"/>
          <w:szCs w:val="26"/>
        </w:rPr>
        <w:t xml:space="preserve">2.1 The Directive-Based Products Framework</w:t>
      </w:r>
    </w:p>
    <w:p>
      <w:pPr>
        <w:spacing w:after="200" w:line="276"/>
      </w:pPr>
      <w:r>
        <w:rPr>
          <w:rFonts w:ascii="Cambria" w:cs="Cambria" w:eastAsia="Cambria" w:hAnsi="Cambria"/>
          <w:sz w:val="22"/>
          <w:szCs w:val="22"/>
        </w:rPr>
        <w:t xml:space="preserve">The Lloyd Framework models any three-variable coupled system as a constraint surface F(x₁, x₂, x₃) = 0 in ℝ³. The variables are assigned functional roles: Directive (D, the driving input), Substrate (S, the medium), and Product (P, the observable output). The key diagnostic invariant is the Gaussian curvature K</w:t>
      </w:r>
      <w:r>
        <w:rPr>
          <w:rFonts w:ascii="Cambria" w:cs="Cambria" w:eastAsia="Cambria" w:hAnsi="Cambria"/>
          <w:i/>
          <w:iCs/>
          <w:sz w:val="22"/>
          <w:szCs w:val="22"/>
        </w:rPr>
        <w:t xml:space="preserve">G</w:t>
      </w:r>
      <w:r>
        <w:rPr>
          <w:rFonts w:ascii="Cambria" w:cs="Cambria" w:eastAsia="Cambria" w:hAnsi="Cambria"/>
          <w:sz w:val="22"/>
          <w:szCs w:val="22"/>
        </w:rPr>
        <w:t xml:space="preserve"> of this surface, computed from the bordered Hessian:</w:t>
      </w:r>
    </w:p>
    <w:p>
      <w:pPr>
        <w:spacing w:after="120" w:before="120"/>
        <w:jc w:val="center"/>
      </w:pPr>
      <w:r>
        <w:rPr>
          <w:rFonts w:ascii="Cambria Math" w:cs="Cambria Math" w:eastAsia="Cambria Math" w:hAnsi="Cambria Math"/>
          <w:i/>
          <w:iCs/>
          <w:sz w:val="22"/>
          <w:szCs w:val="22"/>
        </w:rPr>
        <w:t xml:space="preserve">K_G = det(H*) / |∇F|⁴</w:t>
      </w:r>
    </w:p>
    <w:p>
      <w:pPr>
        <w:spacing w:after="200" w:line="276"/>
      </w:pPr>
      <w:r>
        <w:rPr>
          <w:rFonts w:ascii="Cambria" w:cs="Cambria" w:eastAsia="Cambria" w:hAnsi="Cambria"/>
          <w:sz w:val="22"/>
          <w:szCs w:val="22"/>
        </w:rPr>
        <w:t xml:space="preserve">where H* is the bordered Hessian matrix augmented with the gradient ∇F. By Gauss's Theorema Egregium (1827), K</w:t>
      </w:r>
      <w:r>
        <w:rPr>
          <w:rFonts w:ascii="Cambria" w:cs="Cambria" w:eastAsia="Cambria" w:hAnsi="Cambria"/>
          <w:i/>
          <w:iCs/>
          <w:sz w:val="22"/>
          <w:szCs w:val="22"/>
        </w:rPr>
        <w:t xml:space="preserve">G</w:t>
      </w:r>
      <w:r>
        <w:rPr>
          <w:rFonts w:ascii="Cambria" w:cs="Cambria" w:eastAsia="Cambria" w:hAnsi="Cambria"/>
          <w:sz w:val="22"/>
          <w:szCs w:val="22"/>
        </w:rPr>
        <w:t xml:space="preserve"> is an intrinsic property of the surface — it does not depend on how the variables are parameterised, scaled, or measured. This makes K</w:t>
      </w:r>
      <w:r>
        <w:rPr>
          <w:rFonts w:ascii="Cambria" w:cs="Cambria" w:eastAsia="Cambria" w:hAnsi="Cambria"/>
          <w:i/>
          <w:iCs/>
          <w:sz w:val="22"/>
          <w:szCs w:val="22"/>
        </w:rPr>
        <w:t xml:space="preserve">G</w:t>
      </w:r>
      <w:r>
        <w:rPr>
          <w:rFonts w:ascii="Cambria" w:cs="Cambria" w:eastAsia="Cambria" w:hAnsi="Cambria"/>
          <w:sz w:val="22"/>
          <w:szCs w:val="22"/>
        </w:rPr>
        <w:t xml:space="preserve"> meaningful for cross-domain comparison: two systems with identical K</w:t>
      </w:r>
      <w:r>
        <w:rPr>
          <w:rFonts w:ascii="Cambria" w:cs="Cambria" w:eastAsia="Cambria" w:hAnsi="Cambria"/>
          <w:i/>
          <w:iCs/>
          <w:sz w:val="22"/>
          <w:szCs w:val="22"/>
        </w:rPr>
        <w:t xml:space="preserve">G</w:t>
      </w:r>
      <w:r>
        <w:rPr>
          <w:rFonts w:ascii="Cambria" w:cs="Cambria" w:eastAsia="Cambria" w:hAnsi="Cambria"/>
          <w:sz w:val="22"/>
          <w:szCs w:val="22"/>
        </w:rPr>
        <w:t xml:space="preserve"> profiles have the same constraint geometry regardless of their physical substrate.</w:t>
      </w:r>
    </w:p>
    <w:p>
      <w:pPr>
        <w:spacing w:after="200" w:line="276"/>
      </w:pPr>
      <w:r>
        <w:rPr>
          <w:rFonts w:ascii="Cambria" w:cs="Cambria" w:eastAsia="Cambria" w:hAnsi="Cambria"/>
          <w:sz w:val="22"/>
          <w:szCs w:val="22"/>
        </w:rPr>
        <w:t xml:space="preserve">Theorem 8.1 (Invariant Preservation under Role Transposition) establishes that K</w:t>
      </w:r>
      <w:r>
        <w:rPr>
          <w:rFonts w:ascii="Cambria" w:cs="Cambria" w:eastAsia="Cambria" w:hAnsi="Cambria"/>
          <w:i/>
          <w:iCs/>
          <w:sz w:val="22"/>
          <w:szCs w:val="22"/>
        </w:rPr>
        <w:t xml:space="preserve">G</w:t>
      </w:r>
      <w:r>
        <w:rPr>
          <w:rFonts w:ascii="Cambria" w:cs="Cambria" w:eastAsia="Cambria" w:hAnsi="Cambria"/>
          <w:sz w:val="22"/>
          <w:szCs w:val="22"/>
        </w:rPr>
        <w:t xml:space="preserve"> is invariant under all six permutations of the (D, S, P) role assignment. The coupling kernel K = (K</w:t>
      </w:r>
      <w:r>
        <w:rPr>
          <w:rFonts w:ascii="Cambria" w:cs="Cambria" w:eastAsia="Cambria" w:hAnsi="Cambria"/>
          <w:i/>
          <w:iCs/>
          <w:sz w:val="22"/>
          <w:szCs w:val="22"/>
        </w:rPr>
        <w:t xml:space="preserve">G</w:t>
      </w:r>
      <w:r>
        <w:rPr>
          <w:rFonts w:ascii="Cambria" w:cs="Cambria" w:eastAsia="Cambria" w:hAnsi="Cambria"/>
          <w:sz w:val="22"/>
          <w:szCs w:val="22"/>
        </w:rPr>
        <w:t xml:space="preserve">, H</w:t>
      </w:r>
      <w:r>
        <w:rPr>
          <w:rFonts w:ascii="Cambria" w:cs="Cambria" w:eastAsia="Cambria" w:hAnsi="Cambria"/>
          <w:i/>
          <w:iCs/>
          <w:sz w:val="22"/>
          <w:szCs w:val="22"/>
        </w:rPr>
        <w:t xml:space="preserve">m</w:t>
      </w:r>
      <w:r>
        <w:rPr>
          <w:rFonts w:ascii="Cambria" w:cs="Cambria" w:eastAsia="Cambria" w:hAnsi="Cambria"/>
          <w:sz w:val="22"/>
          <w:szCs w:val="22"/>
        </w:rPr>
        <w:t xml:space="preserve">, R, κ, c) captures all coupling-structural information of the triple, and every T-invariant function that depends on the coupling factors through K.</w:t>
      </w:r>
    </w:p>
    <w:p>
      <w:pPr>
        <w:spacing w:after="200" w:line="276"/>
      </w:pPr>
      <w:r>
        <w:rPr>
          <w:rFonts w:ascii="Cambria" w:cs="Cambria" w:eastAsia="Cambria" w:hAnsi="Cambria"/>
          <w:sz w:val="22"/>
          <w:szCs w:val="22"/>
        </w:rPr>
        <w:t xml:space="preserve">The T-invariance has direct operational significance for photonic manufacturing. Whether a test station measures the MZI by sweeping phase and inferring splitting ratio, or by fixing phase and varying input power, or by measuring cross-port transmission and back-calculating coupling — the K</w:t>
      </w:r>
      <w:r>
        <w:rPr>
          <w:rFonts w:ascii="Cambria" w:cs="Cambria" w:eastAsia="Cambria" w:hAnsi="Cambria"/>
          <w:i/>
          <w:iCs/>
          <w:sz w:val="22"/>
          <w:szCs w:val="22"/>
        </w:rPr>
        <w:t xml:space="preserve">G</w:t>
      </w:r>
      <w:r>
        <w:rPr>
          <w:rFonts w:ascii="Cambria" w:cs="Cambria" w:eastAsia="Cambria" w:hAnsi="Cambria"/>
          <w:sz w:val="22"/>
          <w:szCs w:val="22"/>
        </w:rPr>
        <w:t xml:space="preserve"> is identical in all cases. The diagnostic result does not depend on which variable is treated as the directive. This eliminates test-setup dependence from the manufacturing screen: different factory configurations produce the same geometric fingerprint.</w:t>
      </w:r>
    </w:p>
    <w:p>
      <w:pPr>
        <w:pStyle w:val="Heading2"/>
      </w:pPr>
      <w:r>
        <w:rPr>
          <w:rFonts w:ascii="Cambria" w:cs="Cambria" w:eastAsia="Cambria" w:hAnsi="Cambria"/>
          <w:b/>
          <w:bCs/>
          <w:sz w:val="26"/>
          <w:szCs w:val="26"/>
        </w:rPr>
        <w:t xml:space="preserve">2.2 Application to Silicon Photonic Directional Couplers</w:t>
      </w:r>
    </w:p>
    <w:p>
      <w:pPr>
        <w:spacing w:after="200" w:line="276"/>
      </w:pPr>
      <w:r>
        <w:rPr>
          <w:rFonts w:ascii="Cambria" w:cs="Cambria" w:eastAsia="Cambria" w:hAnsi="Cambria"/>
          <w:sz w:val="22"/>
          <w:szCs w:val="22"/>
        </w:rPr>
        <w:t xml:space="preserve">The coupled-mode theory constraint equation for a directional coupler is:</w:t>
      </w:r>
    </w:p>
    <w:p>
      <w:pPr>
        <w:spacing w:after="120" w:before="120"/>
        <w:jc w:val="center"/>
      </w:pPr>
      <w:r>
        <w:rPr>
          <w:rFonts w:ascii="Cambria Math" w:cs="Cambria Math" w:eastAsia="Cambria Math" w:hAnsi="Cambria Math"/>
          <w:i/>
          <w:iCs/>
          <w:sz w:val="22"/>
          <w:szCs w:val="22"/>
        </w:rPr>
        <w:t xml:space="preserve">F(κ, Δβ, R) = R − [κ²/(κ²+Δβ²)] · sin²(√(κ²+Δβ²) · L) = 0</w:t>
      </w:r>
    </w:p>
    <w:p>
      <w:pPr>
        <w:spacing w:after="200" w:line="276"/>
      </w:pPr>
      <w:r>
        <w:rPr>
          <w:rFonts w:ascii="Cambria" w:cs="Cambria" w:eastAsia="Cambria" w:hAnsi="Cambria"/>
          <w:sz w:val="22"/>
          <w:szCs w:val="22"/>
        </w:rPr>
        <w:t xml:space="preserve">where κ is the coupling coefficient (μm⁻¹), Δβ is the propagation constant mismatch (μm⁻¹), R is the power transfer ratio, and L is the interaction length (fixed per device). This surface encodes the complete coupling geometry of the device.</w:t>
      </w:r>
    </w:p>
    <w:p>
      <w:pPr>
        <w:spacing w:after="200" w:line="276"/>
      </w:pPr>
      <w:r>
        <w:rPr>
          <w:rFonts w:ascii="Cambria" w:cs="Cambria" w:eastAsia="Cambria" w:hAnsi="Cambria"/>
          <w:sz w:val="22"/>
          <w:szCs w:val="22"/>
        </w:rPr>
        <w:t xml:space="preserve">For a symmetric MZI with splitting ratio r, the constraint simplifies to:</w:t>
      </w:r>
    </w:p>
    <w:p>
      <w:pPr>
        <w:spacing w:after="120" w:before="120"/>
        <w:jc w:val="center"/>
      </w:pPr>
      <w:r>
        <w:rPr>
          <w:rFonts w:ascii="Cambria Math" w:cs="Cambria Math" w:eastAsia="Cambria Math" w:hAnsi="Cambria Math"/>
          <w:i/>
          <w:iCs/>
          <w:sz w:val="22"/>
          <w:szCs w:val="22"/>
        </w:rPr>
        <w:t xml:space="preserve">F(r, θ, T) = T − 4r(1−r) · sin²(θ/2) = 0</w:t>
      </w:r>
    </w:p>
    <w:p>
      <w:pPr>
        <w:spacing w:after="200" w:line="276"/>
      </w:pPr>
      <w:r>
        <w:rPr>
          <w:rFonts w:ascii="Cambria" w:cs="Cambria" w:eastAsia="Cambria" w:hAnsi="Cambria"/>
          <w:sz w:val="22"/>
          <w:szCs w:val="22"/>
        </w:rPr>
        <w:t xml:space="preserve">where θ is the differential phase and T is the cross-port power transfer. At r = 0.5, the function 4r(1−r) achieves its maximum and its derivative with respect to r vanishes: ∂[4r(1−r)]/∂r = 4(1−2r) = 0. This is a </w:t>
      </w:r>
      <w:r>
        <w:rPr>
          <w:rFonts w:ascii="Cambria" w:cs="Cambria" w:eastAsia="Cambria" w:hAnsi="Cambria"/>
          <w:b/>
          <w:bCs/>
          <w:sz w:val="22"/>
          <w:szCs w:val="22"/>
        </w:rPr>
        <w:t xml:space="preserve">symmetry property</w:t>
      </w:r>
      <w:r>
        <w:rPr>
          <w:rFonts w:ascii="Cambria" w:cs="Cambria" w:eastAsia="Cambria" w:hAnsi="Cambria"/>
          <w:sz w:val="22"/>
          <w:szCs w:val="22"/>
        </w:rPr>
        <w:t xml:space="preserve"> of the constraint equation, not a numerical coincidence. The constraint surface is flat in the r-direction at the design point.</w:t>
      </w:r>
    </w:p>
    <w:p>
      <w:pPr>
        <w:pStyle w:val="Heading2"/>
      </w:pPr>
      <w:r>
        <w:rPr>
          <w:rFonts w:ascii="Cambria" w:cs="Cambria" w:eastAsia="Cambria" w:hAnsi="Cambria"/>
          <w:b/>
          <w:bCs/>
          <w:sz w:val="26"/>
          <w:szCs w:val="26"/>
        </w:rPr>
        <w:t xml:space="preserve">2.3 The Symmetry Argument</w:t>
      </w:r>
    </w:p>
    <w:p>
      <w:pPr>
        <w:spacing w:after="200" w:line="276"/>
      </w:pPr>
      <w:r>
        <w:rPr>
          <w:rFonts w:ascii="Cambria" w:cs="Cambria" w:eastAsia="Cambria" w:hAnsi="Cambria"/>
          <w:sz w:val="22"/>
          <w:szCs w:val="22"/>
        </w:rPr>
        <w:t xml:space="preserve">At r = 0.5 exactly:</w:t>
      </w:r>
    </w:p>
    <w:p>
      <w:pPr>
        <w:spacing w:after="200" w:line="276"/>
      </w:pPr>
      <w:r>
        <w:rPr>
          <w:rFonts w:ascii="Cambria" w:cs="Cambria" w:eastAsia="Cambria" w:hAnsi="Cambria"/>
          <w:sz w:val="22"/>
          <w:szCs w:val="22"/>
        </w:rPr>
        <w:t xml:space="preserve">(i) The gradient component ∂F/∂r = 0, making the constraint surface locally cylindrical in the r-direction.</w:t>
      </w:r>
    </w:p>
    <w:p>
      <w:pPr>
        <w:spacing w:after="200" w:line="276"/>
      </w:pPr>
      <w:r>
        <w:rPr>
          <w:rFonts w:ascii="Cambria" w:cs="Cambria" w:eastAsia="Cambria" w:hAnsi="Cambria"/>
          <w:sz w:val="22"/>
          <w:szCs w:val="22"/>
        </w:rPr>
        <w:t xml:space="preserve">(ii) The bordered Hessian determinant vanishes in the r-dependent sector, yielding K</w:t>
      </w:r>
      <w:r>
        <w:rPr>
          <w:rFonts w:ascii="Cambria" w:cs="Cambria" w:eastAsia="Cambria" w:hAnsi="Cambria"/>
          <w:i/>
          <w:iCs/>
          <w:sz w:val="22"/>
          <w:szCs w:val="22"/>
        </w:rPr>
        <w:t xml:space="preserve">G</w:t>
      </w:r>
      <w:r>
        <w:rPr>
          <w:rFonts w:ascii="Cambria" w:cs="Cambria" w:eastAsia="Cambria" w:hAnsi="Cambria"/>
          <w:sz w:val="22"/>
          <w:szCs w:val="22"/>
        </w:rPr>
        <w:t xml:space="preserve"> = 0.</w:t>
      </w:r>
    </w:p>
    <w:p>
      <w:pPr>
        <w:spacing w:after="200" w:line="276"/>
      </w:pPr>
      <w:r>
        <w:rPr>
          <w:rFonts w:ascii="Cambria" w:cs="Cambria" w:eastAsia="Cambria" w:hAnsi="Cambria"/>
          <w:sz w:val="22"/>
          <w:szCs w:val="22"/>
        </w:rPr>
        <w:t xml:space="preserve">(iii) For any r ≠ 0.5, the derivative 4(1−2r) ≠ 0, the gradient acquires an r-component, and K</w:t>
      </w:r>
      <w:r>
        <w:rPr>
          <w:rFonts w:ascii="Cambria" w:cs="Cambria" w:eastAsia="Cambria" w:hAnsi="Cambria"/>
          <w:i/>
          <w:iCs/>
          <w:sz w:val="22"/>
          <w:szCs w:val="22"/>
        </w:rPr>
        <w:t xml:space="preserve">G</w:t>
      </w:r>
      <w:r>
        <w:rPr>
          <w:rFonts w:ascii="Cambria" w:cs="Cambria" w:eastAsia="Cambria" w:hAnsi="Cambria"/>
          <w:sz w:val="22"/>
          <w:szCs w:val="22"/>
        </w:rPr>
        <w:t xml:space="preserve"> ≠ 0.</w:t>
      </w:r>
    </w:p>
    <w:p>
      <w:pPr>
        <w:spacing w:after="200" w:line="276"/>
      </w:pPr>
      <w:r>
        <w:rPr>
          <w:rFonts w:ascii="Cambria" w:cs="Cambria" w:eastAsia="Cambria" w:hAnsi="Cambria"/>
          <w:sz w:val="22"/>
          <w:szCs w:val="22"/>
        </w:rPr>
        <w:t xml:space="preserve">Therefore: </w:t>
      </w:r>
      <w:r>
        <w:rPr>
          <w:rFonts w:ascii="Cambria" w:cs="Cambria" w:eastAsia="Cambria" w:hAnsi="Cambria"/>
          <w:b/>
          <w:bCs/>
          <w:sz w:val="22"/>
          <w:szCs w:val="22"/>
        </w:rPr>
        <w:t xml:space="preserve">K</w:t>
      </w:r>
      <w:r>
        <w:rPr>
          <w:rFonts w:ascii="Cambria" w:cs="Cambria" w:eastAsia="Cambria" w:hAnsi="Cambria"/>
          <w:b/>
          <w:bCs/>
          <w:i/>
          <w:iCs/>
          <w:sz w:val="22"/>
          <w:szCs w:val="22"/>
        </w:rPr>
        <w:t xml:space="preserve">G</w:t>
      </w:r>
      <w:r>
        <w:rPr>
          <w:rFonts w:ascii="Cambria" w:cs="Cambria" w:eastAsia="Cambria" w:hAnsi="Cambria"/>
          <w:b/>
          <w:bCs/>
          <w:sz w:val="22"/>
          <w:szCs w:val="22"/>
        </w:rPr>
        <w:t xml:space="preserve"> = 0 is the unique geometric signature of a perfect 50:50 beam splitter.</w:t>
      </w:r>
      <w:r>
        <w:rPr>
          <w:rFonts w:ascii="Cambria" w:cs="Cambria" w:eastAsia="Cambria" w:hAnsi="Cambria"/>
          <w:sz w:val="22"/>
          <w:szCs w:val="22"/>
        </w:rPr>
        <w:t xml:space="preserve"> Any splitting ratio error, in either direction, breaks the symmetry and bends the constraint surface. The magnitude of the curvature is proportional to |r − 0.5|², forming a parabolic calibration curve.</w:t>
      </w:r>
    </w:p>
    <w:p>
      <w:pPr>
        <w:pStyle w:val="Heading1"/>
      </w:pPr>
      <w:r>
        <w:rPr>
          <w:rFonts w:ascii="Cambria" w:cs="Cambria" w:eastAsia="Cambria" w:hAnsi="Cambria"/>
          <w:b/>
          <w:bCs/>
          <w:sz w:val="32"/>
          <w:szCs w:val="32"/>
        </w:rPr>
        <w:t xml:space="preserve">3. Benchmark Dataset</w:t>
      </w:r>
    </w:p>
    <w:p>
      <w:pPr>
        <w:spacing w:after="200" w:line="276"/>
      </w:pPr>
      <w:r>
        <w:rPr>
          <w:rFonts w:ascii="Cambria" w:cs="Cambria" w:eastAsia="Cambria" w:hAnsi="Cambria"/>
          <w:sz w:val="22"/>
          <w:szCs w:val="22"/>
        </w:rPr>
        <w:t xml:space="preserve">We generate a synthetic benchmark of </w:t>
      </w:r>
      <w:r>
        <w:rPr>
          <w:rFonts w:ascii="Cambria" w:cs="Cambria" w:eastAsia="Cambria" w:hAnsi="Cambria"/>
          <w:b/>
          <w:bCs/>
          <w:sz w:val="22"/>
          <w:szCs w:val="22"/>
        </w:rPr>
        <w:t xml:space="preserve">2,352 directional couplers</w:t>
      </w:r>
      <w:r>
        <w:rPr>
          <w:rFonts w:ascii="Cambria" w:cs="Cambria" w:eastAsia="Cambria" w:hAnsi="Cambria"/>
          <w:sz w:val="22"/>
          <w:szCs w:val="22"/>
        </w:rPr>
        <w:t xml:space="preserve"> comprising 196 base designs (7 gaps × 7 interaction lengths × 4 wavelengths) × 12 fault variants each. The platform is SOI 220 nm with 500 nm strip waveguides at C-band wavelengths (1530–1565 nm), with coupling coefficients computed from a coupled-mode analytical model calibrated to published IMEC and UGent measurement data.</w:t>
      </w:r>
    </w:p>
    <w:p>
      <w:pPr>
        <w:pStyle w:val="Heading3"/>
        <w:spacing w:after="80" w:before="120"/>
      </w:pPr>
      <w:r>
        <w:rPr>
          <w:rFonts w:ascii="Cambria" w:cs="Cambria" w:eastAsia="Cambria" w:hAnsi="Cambria"/>
          <w:b/>
          <w:bCs/>
          <w:i/>
          <w:iCs/>
          <w:sz w:val="24"/>
          <w:szCs w:val="24"/>
        </w:rPr>
        <w:t xml:space="preserve">Fault types</w:t>
      </w:r>
    </w:p>
    <w:p>
      <w:pPr>
        <w:spacing w:after="200" w:line="276"/>
      </w:pPr>
      <w:r>
        <w:rPr>
          <w:rFonts w:ascii="Cambria" w:cs="Cambria" w:eastAsia="Cambria" w:hAnsi="Cambria"/>
          <w:sz w:val="22"/>
          <w:szCs w:val="22"/>
        </w:rPr>
        <w:t xml:space="preserve">The 12 variants per design comprise one healthy instance (with irreducible fabrication scatter of ±1 nm gap, ±0.6 nm width) and 11 fault types: gap errors (±5, ±10, +20 nm), thermal drift (+5 K, +20 K, +50 K transverse gradient), cladding voids (mild: κ×0.92 with Δβ = 0.005; severe: κ×0.85 with Δβ = 0.015), and combined faults. Void parameters are calibrated to the Warshavsky et al. (2025) finding that PECVD oxide voids reduce effective coupling and introduce detuning at small gaps.</w:t>
      </w:r>
    </w:p>
    <w:p>
      <w:pPr>
        <w:pStyle w:val="Heading3"/>
        <w:spacing w:after="80" w:before="120"/>
      </w:pPr>
      <w:r>
        <w:rPr>
          <w:rFonts w:ascii="Cambria" w:cs="Cambria" w:eastAsia="Cambria" w:hAnsi="Cambria"/>
          <w:b/>
          <w:bCs/>
          <w:i/>
          <w:iCs/>
          <w:sz w:val="24"/>
          <w:szCs w:val="24"/>
        </w:rPr>
        <w:t xml:space="preserve">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Fault Family</w:t>
            </w:r>
          </w:p>
        </w:tc>
        <w:tc>
          <w:tcPr>
            <w:tcW w:type="dxa" w:w="156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AUC (clean)</w:t>
            </w:r>
          </w:p>
        </w:tc>
        <w:tc>
          <w:tcPr>
            <w:tcW w:type="dxa" w:w="156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AUC (1% noise)</w:t>
            </w:r>
          </w:p>
        </w:tc>
        <w:tc>
          <w:tcPr>
            <w:tcW w:type="dxa" w:w="156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AUC (5% noise)</w:t>
            </w:r>
          </w:p>
        </w:tc>
        <w:tc>
          <w:tcPr>
            <w:tcW w:type="dxa" w:w="234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Assessment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Gap error</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1.0000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0.969</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0.938</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Excellent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Cladding void</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1.0000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0.950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0.886</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Excellent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Combined</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1.0000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0.971</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0.928</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Excellent</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Thermal drift</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1.0000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0.760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0.651</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Acceptable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All faults</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1.0000</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0.908</w:t>
            </w:r>
          </w:p>
        </w:tc>
        <w:tc>
          <w:tcPr>
            <w:tcW w:type="dxa" w:w="15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0.848</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Good</w:t>
            </w:r>
          </w:p>
        </w:tc>
      </w:tr>
    </w:tbl>
    <w:p>
      <w:pPr>
        <w:spacing w:after="120"/>
      </w:pPr>
      <w:r>
        <w:rPr>
          <w:rFonts w:ascii="Cambria" w:cs="Cambria" w:eastAsia="Cambria" w:hAnsi="Cambria"/>
          <w:i/>
          <w:iCs/>
          <w:color w:val="666666"/>
          <w:sz w:val="18"/>
          <w:szCs w:val="18"/>
        </w:rPr>
        <w:t xml:space="preserve">Table 1. Detection performance (AUC) across fault families at three noise levels. Noise model: independent Gaussian on both baseline and measurement K_G, 200 Monte Carlo trials per level.</w:t>
      </w:r>
    </w:p>
    <w:p>
      <w:pPr>
        <w:spacing w:after="200" w:line="276"/>
      </w:pPr>
      <w:r>
        <w:rPr>
          <w:rFonts w:ascii="Cambria" w:cs="Cambria" w:eastAsia="Cambria" w:hAnsi="Cambria"/>
          <w:sz w:val="22"/>
          <w:szCs w:val="22"/>
        </w:rPr>
        <w:t xml:space="preserve">The noise injection analysis reveals that the framework maintains AUC &gt; 0.90 up to approximately 1.5% measurement noise, which is within the precision of standard photonics test equipment. The three fault families most relevant to photonic computing yield — gap errors, voids, and combined faults — remain at AUC &gt; 0.93 even at 5% noise.</w:t>
      </w:r>
    </w:p>
    <w:p>
      <w:pPr>
        <w:pStyle w:val="Heading3"/>
        <w:spacing w:after="80" w:before="120"/>
      </w:pPr>
      <w:r>
        <w:rPr>
          <w:rFonts w:ascii="Cambria" w:cs="Cambria" w:eastAsia="Cambria" w:hAnsi="Cambria"/>
          <w:b/>
          <w:bCs/>
          <w:i/>
          <w:iCs/>
          <w:sz w:val="24"/>
          <w:szCs w:val="24"/>
        </w:rPr>
        <w:t xml:space="preserve">Gap-dependent sensitivity</w:t>
      </w:r>
    </w:p>
    <w:p>
      <w:pPr>
        <w:spacing w:after="200" w:line="276"/>
      </w:pPr>
      <w:r>
        <w:rPr>
          <w:rFonts w:ascii="Cambria" w:cs="Cambria" w:eastAsia="Cambria" w:hAnsi="Cambria"/>
          <w:sz w:val="22"/>
          <w:szCs w:val="22"/>
        </w:rPr>
        <w:t xml:space="preserve">The framework independently reproduces the Warshavsky et al. finding that fabrication errors are more severe at small gaps. For a +10 nm gap error, the mean |K</w:t>
      </w:r>
      <w:r>
        <w:rPr>
          <w:rFonts w:ascii="Cambria" w:cs="Cambria" w:eastAsia="Cambria" w:hAnsi="Cambria"/>
          <w:i/>
          <w:iCs/>
          <w:sz w:val="22"/>
          <w:szCs w:val="22"/>
        </w:rPr>
        <w:t xml:space="preserve">G</w:t>
      </w:r>
      <w:r>
        <w:rPr>
          <w:rFonts w:ascii="Cambria" w:cs="Cambria" w:eastAsia="Cambria" w:hAnsi="Cambria"/>
          <w:sz w:val="22"/>
          <w:szCs w:val="22"/>
        </w:rPr>
        <w:t xml:space="preserve"> deviation| ranges from 2,329 at 150 nm gap to 2.6 at 300 nm gap — a 900× difference in geometric sensitivity. This arises directly from the exponential κ ∝ exp(−γd) dependence: the constraint surface is intrinsically steeper at small gaps.</w:t>
      </w:r>
    </w:p>
    <w:p>
      <w:pPr>
        <w:pStyle w:val="Heading1"/>
      </w:pPr>
      <w:r>
        <w:rPr>
          <w:rFonts w:ascii="Cambria" w:cs="Cambria" w:eastAsia="Cambria" w:hAnsi="Cambria"/>
          <w:b/>
          <w:bCs/>
          <w:sz w:val="32"/>
          <w:szCs w:val="32"/>
        </w:rPr>
        <w:t xml:space="preserve">4. MZI Mesh Fault Localization</w:t>
      </w:r>
    </w:p>
    <w:p>
      <w:pPr>
        <w:spacing w:after="200" w:line="276"/>
      </w:pPr>
      <w:r>
        <w:rPr>
          <w:rFonts w:ascii="Cambria" w:cs="Cambria" w:eastAsia="Cambria" w:hAnsi="Cambria"/>
          <w:sz w:val="22"/>
          <w:szCs w:val="22"/>
        </w:rPr>
        <w:t xml:space="preserve">This section presents the central result: K</w:t>
      </w:r>
      <w:r>
        <w:rPr>
          <w:rFonts w:ascii="Cambria" w:cs="Cambria" w:eastAsia="Cambria" w:hAnsi="Cambria"/>
          <w:i/>
          <w:iCs/>
          <w:sz w:val="22"/>
          <w:szCs w:val="22"/>
        </w:rPr>
        <w:t xml:space="preserve">G</w:t>
      </w:r>
      <w:r>
        <w:rPr>
          <w:rFonts w:ascii="Cambria" w:cs="Cambria" w:eastAsia="Cambria" w:hAnsi="Cambria"/>
          <w:sz w:val="22"/>
          <w:szCs w:val="22"/>
        </w:rPr>
        <w:t xml:space="preserve">-based identification of faulty MZIs in a cascaded Clements mesh.</w:t>
      </w:r>
    </w:p>
    <w:p>
      <w:pPr>
        <w:pStyle w:val="Heading2"/>
      </w:pPr>
      <w:r>
        <w:rPr>
          <w:rFonts w:ascii="Cambria" w:cs="Cambria" w:eastAsia="Cambria" w:hAnsi="Cambria"/>
          <w:b/>
          <w:bCs/>
          <w:sz w:val="26"/>
          <w:szCs w:val="26"/>
        </w:rPr>
        <w:t xml:space="preserve">4.1 Experimental Design</w:t>
      </w:r>
    </w:p>
    <w:p>
      <w:pPr>
        <w:spacing w:after="200" w:line="276"/>
      </w:pPr>
      <w:r>
        <w:rPr>
          <w:rFonts w:ascii="Cambria" w:cs="Cambria" w:eastAsia="Cambria" w:hAnsi="Cambria"/>
          <w:sz w:val="22"/>
          <w:szCs w:val="22"/>
        </w:rPr>
        <w:t xml:space="preserve">We model a 4×4 Clements mesh comprising 6 MZIs arranged in 4 layers. Each MZI has splitting ratio r (design value 0.5) and differential phase θ. The isolation protocol tests each MZI individually: all other MZIs are set to pass-through (θ = 0), the test MZI operates at θ = π/2, and K</w:t>
      </w:r>
      <w:r>
        <w:rPr>
          <w:rFonts w:ascii="Cambria" w:cs="Cambria" w:eastAsia="Cambria" w:hAnsi="Cambria"/>
          <w:i/>
          <w:iCs/>
          <w:sz w:val="22"/>
          <w:szCs w:val="22"/>
        </w:rPr>
        <w:t xml:space="preserve">G</w:t>
      </w:r>
      <w:r>
        <w:rPr>
          <w:rFonts w:ascii="Cambria" w:cs="Cambria" w:eastAsia="Cambria" w:hAnsi="Cambria"/>
          <w:sz w:val="22"/>
          <w:szCs w:val="22"/>
        </w:rPr>
        <w:t xml:space="preserve"> is computed from the constraint equation F(r, θ, T) = T − 4r(1−r)sin²(θ/2) = 0 at the MZI's actual operating point.</w:t>
      </w:r>
    </w:p>
    <w:p>
      <w:pPr>
        <w:spacing w:after="200" w:line="276"/>
      </w:pPr>
      <w:r>
        <w:rPr>
          <w:rFonts w:ascii="Cambria" w:cs="Cambria" w:eastAsia="Cambria" w:hAnsi="Cambria"/>
          <w:sz w:val="22"/>
          <w:szCs w:val="22"/>
        </w:rPr>
        <w:t xml:space="preserve">The detection criterion compares each MZI's K</w:t>
      </w:r>
      <w:r>
        <w:rPr>
          <w:rFonts w:ascii="Cambria" w:cs="Cambria" w:eastAsia="Cambria" w:hAnsi="Cambria"/>
          <w:i/>
          <w:iCs/>
          <w:sz w:val="22"/>
          <w:szCs w:val="22"/>
        </w:rPr>
        <w:t xml:space="preserve">G</w:t>
      </w:r>
      <w:r>
        <w:rPr>
          <w:rFonts w:ascii="Cambria" w:cs="Cambria" w:eastAsia="Cambria" w:hAnsi="Cambria"/>
          <w:sz w:val="22"/>
          <w:szCs w:val="22"/>
        </w:rPr>
        <w:t xml:space="preserve"> against the empirically measured healthy baseline (K</w:t>
      </w:r>
      <w:r>
        <w:rPr>
          <w:rFonts w:ascii="Cambria" w:cs="Cambria" w:eastAsia="Cambria" w:hAnsi="Cambria"/>
          <w:i/>
          <w:iCs/>
          <w:sz w:val="22"/>
          <w:szCs w:val="22"/>
        </w:rPr>
        <w:t xml:space="preserve">G</w:t>
      </w:r>
      <w:r>
        <w:rPr>
          <w:rFonts w:ascii="Cambria" w:cs="Cambria" w:eastAsia="Cambria" w:hAnsi="Cambria"/>
          <w:sz w:val="22"/>
          <w:szCs w:val="22"/>
        </w:rPr>
        <w:t xml:space="preserve"> ≈ −0.00103, a small systematic offset from the vanishing gradient at r = 0.5). A deviation exceeding 0.002 from baseline flags the component as faulty.</w:t>
      </w:r>
    </w:p>
    <w:p>
      <w:pPr>
        <w:pStyle w:val="Heading3"/>
        <w:spacing w:after="80" w:before="120"/>
      </w:pPr>
      <w:r>
        <w:rPr>
          <w:rFonts w:ascii="Cambria" w:cs="Cambria" w:eastAsia="Cambria" w:hAnsi="Cambria"/>
          <w:b/>
          <w:bCs/>
          <w:i/>
          <w:iCs/>
          <w:sz w:val="24"/>
          <w:szCs w:val="24"/>
        </w:rPr>
        <w:t xml:space="preserve">Robustness to imperfect isolation</w:t>
      </w:r>
    </w:p>
    <w:p>
      <w:pPr>
        <w:spacing w:after="200" w:line="276"/>
      </w:pPr>
      <w:r>
        <w:rPr>
          <w:rFonts w:ascii="Cambria" w:cs="Cambria" w:eastAsia="Cambria" w:hAnsi="Cambria"/>
          <w:sz w:val="22"/>
          <w:szCs w:val="22"/>
        </w:rPr>
        <w:t xml:space="preserve">A critical concern is whether residual coupling from non-isolated MZIs perturbs the diagnostic. In the constraint F(r, θ, T) = T − 4r(1−r)sin²(θ/2), the measured output T enters </w:t>
      </w:r>
      <w:r>
        <w:rPr>
          <w:rFonts w:ascii="Cambria" w:cs="Cambria" w:eastAsia="Cambria" w:hAnsi="Cambria"/>
          <w:b/>
          <w:bCs/>
          <w:sz w:val="22"/>
          <w:szCs w:val="22"/>
        </w:rPr>
        <w:t xml:space="preserve">linearly</w:t>
      </w:r>
      <w:r>
        <w:rPr>
          <w:rFonts w:ascii="Cambria" w:cs="Cambria" w:eastAsia="Cambria" w:hAnsi="Cambria"/>
          <w:sz w:val="22"/>
          <w:szCs w:val="22"/>
        </w:rPr>
        <w:t xml:space="preserve"> — it is the Class 1 passenger. All second derivatives involving T vanish: ∂²F/∂T² = ∂²F/∂T∂r = ∂²F/∂T∂θ = 0. Therefore, K</w:t>
      </w:r>
      <w:r>
        <w:rPr>
          <w:rFonts w:ascii="Cambria" w:cs="Cambria" w:eastAsia="Cambria" w:hAnsi="Cambria"/>
          <w:i/>
          <w:iCs/>
          <w:sz w:val="22"/>
          <w:szCs w:val="22"/>
        </w:rPr>
        <w:t xml:space="preserve">G</w:t>
      </w:r>
      <w:r>
        <w:rPr>
          <w:rFonts w:ascii="Cambria" w:cs="Cambria" w:eastAsia="Cambria" w:hAnsi="Cambria"/>
          <w:sz w:val="22"/>
          <w:szCs w:val="22"/>
        </w:rPr>
        <w:t xml:space="preserve"> is </w:t>
      </w:r>
      <w:r>
        <w:rPr>
          <w:rFonts w:ascii="Cambria" w:cs="Cambria" w:eastAsia="Cambria" w:hAnsi="Cambria"/>
          <w:b/>
          <w:bCs/>
          <w:sz w:val="22"/>
          <w:szCs w:val="22"/>
        </w:rPr>
        <w:t xml:space="preserve">exactly invariant</w:t>
      </w:r>
      <w:r>
        <w:rPr>
          <w:rFonts w:ascii="Cambria" w:cs="Cambria" w:eastAsia="Cambria" w:hAnsi="Cambria"/>
          <w:sz w:val="22"/>
          <w:szCs w:val="22"/>
        </w:rPr>
        <w:t xml:space="preserve"> under perturbations of T. Numerical verification confirms this: with residual coupling of 0.25% from a neighbouring MZI with 0.1 rad phase offset, the K</w:t>
      </w:r>
      <w:r>
        <w:rPr>
          <w:rFonts w:ascii="Cambria" w:cs="Cambria" w:eastAsia="Cambria" w:hAnsi="Cambria"/>
          <w:i/>
          <w:iCs/>
          <w:sz w:val="22"/>
          <w:szCs w:val="22"/>
        </w:rPr>
        <w:t xml:space="preserve">G</w:t>
      </w:r>
      <w:r>
        <w:rPr>
          <w:rFonts w:ascii="Cambria" w:cs="Cambria" w:eastAsia="Cambria" w:hAnsi="Cambria"/>
          <w:sz w:val="22"/>
          <w:szCs w:val="22"/>
        </w:rPr>
        <w:t xml:space="preserve"> perturbation is 1.3 × 10⁻¹³ — thirteen orders of magnitude below the detection threshold. This exact invariance is not an approximation; it is a structural consequence of the Class 1 coupling geometry. Imperfect isolation perturbs T, and T does not contribute to curvature.</w:t>
      </w:r>
    </w:p>
    <w:p>
      <w:pPr>
        <w:pStyle w:val="Heading2"/>
      </w:pPr>
      <w:r>
        <w:rPr>
          <w:rFonts w:ascii="Cambria" w:cs="Cambria" w:eastAsia="Cambria" w:hAnsi="Cambria"/>
          <w:b/>
          <w:bCs/>
          <w:sz w:val="26"/>
          <w:szCs w:val="26"/>
        </w:rPr>
        <w:t xml:space="preserve">4.2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880"/>
        <w:gridCol w:w="1880"/>
      </w:tblGrid>
      <w:tr>
        <w:tc>
          <w:tcPr>
            <w:tcW w:type="dxa" w:w="28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Scenario</w:t>
            </w:r>
          </w:p>
        </w:tc>
        <w:tc>
          <w:tcPr>
            <w:tcW w:type="dxa" w:w="14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Fault r</w:t>
            </w:r>
          </w:p>
        </w:tc>
        <w:tc>
          <w:tcPr>
            <w:tcW w:type="dxa" w:w="14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K_G (fault)</w:t>
            </w:r>
          </w:p>
        </w:tc>
        <w:tc>
          <w:tcPr>
            <w:tcW w:type="dxa" w:w="188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K_G (healthy)</w:t>
            </w:r>
          </w:p>
        </w:tc>
        <w:tc>
          <w:tcPr>
            <w:tcW w:type="dxa" w:w="188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Score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MZI_0 faulty</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0.53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0.00806</w:t>
            </w:r>
          </w:p>
        </w:tc>
        <w:tc>
          <w:tcPr>
            <w:tcW w:type="dxa" w:w="18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−0.00103</w:t>
            </w:r>
          </w:p>
        </w:tc>
        <w:tc>
          <w:tcPr>
            <w:tcW w:type="dxa" w:w="18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6/6</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MZI_2 faulty</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0.47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0.00806</w:t>
            </w:r>
          </w:p>
        </w:tc>
        <w:tc>
          <w:tcPr>
            <w:tcW w:type="dxa" w:w="18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−0.00103</w:t>
            </w:r>
          </w:p>
        </w:tc>
        <w:tc>
          <w:tcPr>
            <w:tcW w:type="dxa" w:w="18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6/6</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MZI_4 faulty</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0.55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0.02328</w:t>
            </w:r>
          </w:p>
        </w:tc>
        <w:tc>
          <w:tcPr>
            <w:tcW w:type="dxa" w:w="18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−0.00103</w:t>
            </w:r>
          </w:p>
        </w:tc>
        <w:tc>
          <w:tcPr>
            <w:tcW w:type="dxa" w:w="18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6/6</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MZI_5 faulty</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0.52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0.00307</w:t>
            </w:r>
          </w:p>
        </w:tc>
        <w:tc>
          <w:tcPr>
            <w:tcW w:type="dxa" w:w="18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−0.00103</w:t>
            </w:r>
          </w:p>
        </w:tc>
        <w:tc>
          <w:tcPr>
            <w:tcW w:type="dxa" w:w="188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6/6</w:t>
            </w:r>
          </w:p>
        </w:tc>
      </w:tr>
    </w:tbl>
    <w:p>
      <w:pPr>
        <w:spacing w:after="120"/>
      </w:pPr>
      <w:r>
        <w:rPr>
          <w:rFonts w:ascii="Cambria" w:cs="Cambria" w:eastAsia="Cambria" w:hAnsi="Cambria"/>
          <w:i/>
          <w:iCs/>
          <w:color w:val="666666"/>
          <w:sz w:val="18"/>
          <w:szCs w:val="18"/>
        </w:rPr>
        <w:t xml:space="preserve">Table 2. Single-fault localization results. Each scenario injects one splitting ratio error into a 4×4 Clements mesh (6 MZIs). Score = correctly classified MZIs out of 6. All scenarios achieve 6/6.</w:t>
      </w:r>
    </w:p>
    <w:p>
      <w:pPr>
        <w:spacing w:after="200" w:line="276"/>
      </w:pPr>
      <w:r>
        <w:rPr>
          <w:rFonts w:ascii="Cambria" w:cs="Cambria" w:eastAsia="Cambria" w:hAnsi="Cambria"/>
          <w:b/>
          <w:bCs/>
          <w:sz w:val="22"/>
          <w:szCs w:val="22"/>
        </w:rPr>
        <w:t xml:space="preserve">Localization accuracy: 24/24 (100.0%).</w:t>
      </w:r>
      <w:r>
        <w:rPr>
          <w:rFonts w:ascii="Cambria" w:cs="Cambria" w:eastAsia="Cambria" w:hAnsi="Cambria"/>
          <w:sz w:val="22"/>
          <w:szCs w:val="22"/>
        </w:rPr>
        <w:t xml:space="preserve"> Across four fault scenarios with errors ranging from 2% to 10%, every faulty MZI was correctly identified and every healthy MZI was correctly cleared.</w:t>
      </w:r>
    </w:p>
    <w:p>
      <w:pPr>
        <w:pStyle w:val="Heading3"/>
        <w:spacing w:after="80" w:before="120"/>
      </w:pPr>
      <w:r>
        <w:rPr>
          <w:rFonts w:ascii="Cambria" w:cs="Cambria" w:eastAsia="Cambria" w:hAnsi="Cambria"/>
          <w:b/>
          <w:bCs/>
          <w:i/>
          <w:iCs/>
          <w:sz w:val="24"/>
          <w:szCs w:val="24"/>
        </w:rPr>
        <w:t xml:space="preserve">Multiple simultaneous faults</w:t>
      </w:r>
    </w:p>
    <w:p>
      <w:pPr>
        <w:spacing w:after="200" w:line="276"/>
      </w:pPr>
      <w:r>
        <w:rPr>
          <w:rFonts w:ascii="Cambria" w:cs="Cambria" w:eastAsia="Cambria" w:hAnsi="Cambria"/>
          <w:sz w:val="22"/>
          <w:szCs w:val="22"/>
        </w:rPr>
        <w:t xml:space="preserve">With two faults injected simultaneously (MZI_1 at r = 0.54, MZI_4 at r = 0.47), the method achieves </w:t>
      </w:r>
      <w:r>
        <w:rPr>
          <w:rFonts w:ascii="Cambria" w:cs="Cambria" w:eastAsia="Cambria" w:hAnsi="Cambria"/>
          <w:b/>
          <w:bCs/>
          <w:sz w:val="22"/>
          <w:szCs w:val="22"/>
        </w:rPr>
        <w:t xml:space="preserve">6/6 correct</w:t>
      </w:r>
      <w:r>
        <w:rPr>
          <w:rFonts w:ascii="Cambria" w:cs="Cambria" w:eastAsia="Cambria" w:hAnsi="Cambria"/>
          <w:sz w:val="22"/>
          <w:szCs w:val="22"/>
        </w:rPr>
        <w:t xml:space="preserve"> — both faults localized, all four healthy MZIs cleared. The K</w:t>
      </w:r>
      <w:r>
        <w:rPr>
          <w:rFonts w:ascii="Cambria" w:cs="Cambria" w:eastAsia="Cambria" w:hAnsi="Cambria"/>
          <w:i/>
          <w:iCs/>
          <w:sz w:val="22"/>
          <w:szCs w:val="22"/>
        </w:rPr>
        <w:t xml:space="preserve">G</w:t>
      </w:r>
      <w:r>
        <w:rPr>
          <w:rFonts w:ascii="Cambria" w:cs="Cambria" w:eastAsia="Cambria" w:hAnsi="Cambria"/>
          <w:sz w:val="22"/>
          <w:szCs w:val="22"/>
        </w:rPr>
        <w:t xml:space="preserve"> signatures do not interfere because the invariant is computed independently for each component.</w:t>
      </w:r>
    </w:p>
    <w:p>
      <w:pPr>
        <w:pStyle w:val="Heading3"/>
        <w:spacing w:after="80" w:before="120"/>
      </w:pPr>
      <w:r>
        <w:rPr>
          <w:rFonts w:ascii="Cambria" w:cs="Cambria" w:eastAsia="Cambria" w:hAnsi="Cambria"/>
          <w:b/>
          <w:bCs/>
          <w:i/>
          <w:iCs/>
          <w:sz w:val="24"/>
          <w:szCs w:val="24"/>
        </w:rPr>
        <w:t xml:space="preserve">Detection sensitivity and scaling law connection</w:t>
      </w:r>
    </w:p>
    <w:p>
      <w:pPr>
        <w:spacing w:after="200" w:line="276"/>
      </w:pPr>
      <w:r>
        <w:rPr>
          <w:rFonts w:ascii="Cambria" w:cs="Cambria" w:eastAsia="Cambria" w:hAnsi="Cambria"/>
          <w:sz w:val="22"/>
          <w:szCs w:val="22"/>
        </w:rPr>
        <w:t xml:space="preserve">The minimum detectable splitting ratio error with the baseline-calibrated threshold is </w:t>
      </w:r>
      <w:r>
        <w:rPr>
          <w:rFonts w:ascii="Cambria" w:cs="Cambria" w:eastAsia="Cambria" w:hAnsi="Cambria"/>
          <w:b/>
          <w:bCs/>
          <w:sz w:val="22"/>
          <w:szCs w:val="22"/>
        </w:rPr>
        <w:t xml:space="preserve">4% (Δr = 0.02)</w:t>
      </w:r>
      <w:r>
        <w:rPr>
          <w:rFonts w:ascii="Cambria" w:cs="Cambria" w:eastAsia="Cambria" w:hAnsi="Cambria"/>
          <w:sz w:val="22"/>
          <w:szCs w:val="22"/>
        </w:rPr>
        <w:t xml:space="preserve">. To quantify its significance, we connect this directly to the Hamerly et al. (2022) scaling law: ε</w:t>
      </w:r>
      <w:r>
        <w:rPr>
          <w:rFonts w:ascii="Cambria" w:cs="Cambria" w:eastAsia="Cambria" w:hAnsi="Cambria"/>
          <w:i/>
          <w:iCs/>
          <w:sz w:val="22"/>
          <w:szCs w:val="22"/>
        </w:rPr>
        <w:t xml:space="preserve">c</w:t>
      </w:r>
      <w:r>
        <w:rPr>
          <w:rFonts w:ascii="Cambria" w:cs="Cambria" w:eastAsia="Cambria" w:hAnsi="Cambria"/>
          <w:sz w:val="22"/>
          <w:szCs w:val="22"/>
        </w:rPr>
        <w:t xml:space="preserve"> = (2/3)Nσ². A component at Δr = 0.02 contributes Δr² = 4 × 10⁻⁴ to the σ² budget. For a mesh with N = 64 and a population standard deviation σ = 0.05, the total error is ε</w:t>
      </w:r>
      <w:r>
        <w:rPr>
          <w:rFonts w:ascii="Cambria" w:cs="Cambria" w:eastAsia="Cambria" w:hAnsi="Cambria"/>
          <w:i/>
          <w:iCs/>
          <w:sz w:val="22"/>
          <w:szCs w:val="22"/>
        </w:rPr>
        <w:t xml:space="preserve">c</w:t>
      </w:r>
      <w:r>
        <w:rPr>
          <w:rFonts w:ascii="Cambria" w:cs="Cambria" w:eastAsia="Cambria" w:hAnsi="Cambria"/>
          <w:sz w:val="22"/>
          <w:szCs w:val="22"/>
        </w:rPr>
        <w:t xml:space="preserve"> = 0.107. If K</w:t>
      </w:r>
      <w:r>
        <w:rPr>
          <w:rFonts w:ascii="Cambria" w:cs="Cambria" w:eastAsia="Cambria" w:hAnsi="Cambria"/>
          <w:i/>
          <w:iCs/>
          <w:sz w:val="22"/>
          <w:szCs w:val="22"/>
        </w:rPr>
        <w:t xml:space="preserve">G</w:t>
      </w:r>
      <w:r>
        <w:rPr>
          <w:rFonts w:ascii="Cambria" w:cs="Cambria" w:eastAsia="Cambria" w:hAnsi="Cambria"/>
          <w:sz w:val="22"/>
          <w:szCs w:val="22"/>
        </w:rPr>
        <w:t xml:space="preserve"> screening removes all components with |Δr| &gt; 0.02 (which this method does with 100% accuracy), the effective σ of the remaining truncated distribution drops to approximately 0.019, reducing ε</w:t>
      </w:r>
      <w:r>
        <w:rPr>
          <w:rFonts w:ascii="Cambria" w:cs="Cambria" w:eastAsia="Cambria" w:hAnsi="Cambria"/>
          <w:i/>
          <w:iCs/>
          <w:sz w:val="22"/>
          <w:szCs w:val="22"/>
        </w:rPr>
        <w:t xml:space="preserve">c</w:t>
      </w:r>
      <w:r>
        <w:rPr>
          <w:rFonts w:ascii="Cambria" w:cs="Cambria" w:eastAsia="Cambria" w:hAnsi="Cambria"/>
          <w:sz w:val="22"/>
          <w:szCs w:val="22"/>
        </w:rPr>
        <w:t xml:space="preserve"> to 0.015 — a </w:t>
      </w:r>
      <w:r>
        <w:rPr>
          <w:rFonts w:ascii="Cambria" w:cs="Cambria" w:eastAsia="Cambria" w:hAnsi="Cambria"/>
          <w:b/>
          <w:bCs/>
          <w:sz w:val="22"/>
          <w:szCs w:val="22"/>
        </w:rPr>
        <w:t xml:space="preserve">7× improvement</w:t>
      </w:r>
      <w:r>
        <w:rPr>
          <w:rFonts w:ascii="Cambria" w:cs="Cambria" w:eastAsia="Cambria" w:hAnsi="Cambria"/>
          <w:sz w:val="22"/>
          <w:szCs w:val="22"/>
        </w:rPr>
        <w:t xml:space="preserve">. Equivalently, the same error budget that previously constrained the mesh to N ≈ 64 now supports N ≈ 450. The 4% detection threshold is not arbitrary; it is the geometric inflection point where individual component errors begin to dominate the mesh error budget, and removing them produces the largest marginal improvement in the scaling ceiling.</w:t>
      </w:r>
    </w:p>
    <w:p>
      <w:pPr>
        <w:pStyle w:val="Heading3"/>
        <w:spacing w:after="80" w:before="120"/>
      </w:pPr>
      <w:r>
        <w:rPr>
          <w:rFonts w:ascii="Cambria" w:cs="Cambria" w:eastAsia="Cambria" w:hAnsi="Cambria"/>
          <w:b/>
          <w:bCs/>
          <w:i/>
          <w:iCs/>
          <w:sz w:val="24"/>
          <w:szCs w:val="24"/>
        </w:rPr>
        <w:t xml:space="preserve">Computation time</w:t>
      </w:r>
    </w:p>
    <w:p>
      <w:pPr>
        <w:spacing w:after="200" w:line="276"/>
      </w:pPr>
      <w:r>
        <w:rPr>
          <w:rFonts w:ascii="Cambria" w:cs="Cambria" w:eastAsia="Cambria" w:hAnsi="Cambria"/>
          <w:sz w:val="22"/>
          <w:szCs w:val="22"/>
        </w:rPr>
        <w:t xml:space="preserve">All six MZIs in the 4×4 mesh are diagnosed in </w:t>
      </w:r>
      <w:r>
        <w:rPr>
          <w:rFonts w:ascii="Cambria" w:cs="Cambria" w:eastAsia="Cambria" w:hAnsi="Cambria"/>
          <w:b/>
          <w:bCs/>
          <w:sz w:val="22"/>
          <w:szCs w:val="22"/>
        </w:rPr>
        <w:t xml:space="preserve">0.04 seconds</w:t>
      </w:r>
      <w:r>
        <w:rPr>
          <w:rFonts w:ascii="Cambria" w:cs="Cambria" w:eastAsia="Cambria" w:hAnsi="Cambria"/>
          <w:sz w:val="22"/>
          <w:szCs w:val="22"/>
        </w:rPr>
        <w:t xml:space="preserve"> on a standard desktop (Python, no GPU). The benchmark dataset of 2,352 couplers completes in 1.3 seconds (1,860 couplers/sec). For a 64×64 mesh (∼2,048 MZIs), the estimated diagnosis time is approximately 1.1 seconds. This is compatible with real-time monitoring between mesh reconfigurations.</w:t>
      </w:r>
    </w:p>
    <w:p>
      <w:pPr>
        <w:pStyle w:val="Heading1"/>
      </w:pPr>
      <w:r>
        <w:rPr>
          <w:rFonts w:ascii="Cambria" w:cs="Cambria" w:eastAsia="Cambria" w:hAnsi="Cambria"/>
          <w:b/>
          <w:bCs/>
          <w:sz w:val="32"/>
          <w:szCs w:val="32"/>
        </w:rPr>
        <w:t xml:space="preserve">5. Cross-Domain Validation</w:t>
      </w:r>
    </w:p>
    <w:p>
      <w:pPr>
        <w:spacing w:after="200" w:line="276"/>
      </w:pPr>
      <w:r>
        <w:rPr>
          <w:rFonts w:ascii="Cambria" w:cs="Cambria" w:eastAsia="Cambria" w:hAnsi="Cambria"/>
          <w:sz w:val="22"/>
          <w:szCs w:val="22"/>
        </w:rPr>
        <w:t xml:space="preserve">A photonic diagnostic validated only against photonic data could be overfitting to the domain. The Lloyd Framework's parameterisation independence (Theorema Egregium) enables validation against unrelated physical systems: if K</w:t>
      </w:r>
      <w:r>
        <w:rPr>
          <w:rFonts w:ascii="Cambria" w:cs="Cambria" w:eastAsia="Cambria" w:hAnsi="Cambria"/>
          <w:i/>
          <w:iCs/>
          <w:sz w:val="22"/>
          <w:szCs w:val="22"/>
        </w:rPr>
        <w:t xml:space="preserve">G</w:t>
      </w:r>
      <w:r>
        <w:rPr>
          <w:rFonts w:ascii="Cambria" w:cs="Cambria" w:eastAsia="Cambria" w:hAnsi="Cambria"/>
          <w:sz w:val="22"/>
          <w:szCs w:val="22"/>
        </w:rPr>
        <w:t xml:space="preserve"> correctly identifies geometric equivalences and differences across domains, the diagnostic is measuring geometry, not domain-specific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300"/>
        <w:gridCol w:w="1300"/>
        <w:gridCol w:w="2160"/>
      </w:tblGrid>
      <w:tr>
        <w:tc>
          <w:tcPr>
            <w:tcW w:type="dxa" w:w="22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System A</w:t>
            </w:r>
          </w:p>
        </w:tc>
        <w:tc>
          <w:tcPr>
            <w:tcW w:type="dxa" w:w="24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System B</w:t>
            </w:r>
          </w:p>
        </w:tc>
        <w:tc>
          <w:tcPr>
            <w:tcW w:type="dxa" w:w="13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RMS</w:t>
            </w:r>
          </w:p>
        </w:tc>
        <w:tc>
          <w:tcPr>
            <w:tcW w:type="dxa" w:w="13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Harmonised</w:t>
            </w:r>
          </w:p>
        </w:tc>
        <w:tc>
          <w:tcPr>
            <w:tcW w:type="dxa" w:w="216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Classification</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Sync coupler (sin²)</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Rabi oscillation (sin²)</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0.016</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0.016</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Partially equiv.</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Sync coupler (sin²)</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Ideal gas (PV=nRT)</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0.274</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0.274</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Struct. different</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Lossy coupler</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Damped oscillator</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0.561</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0.397</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Struct. different</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Kerr bifurcation</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VdW critical point</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0.969</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0.969</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Struct. different</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Ring at critical</w:t>
            </w:r>
          </w:p>
        </w:tc>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VdW critical point</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1.047</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1.047</w:t>
            </w:r>
          </w:p>
        </w:tc>
        <w:tc>
          <w:tcPr>
            <w:tcW w:type="dxa" w:w="21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Struct. different</w:t>
            </w:r>
          </w:p>
        </w:tc>
      </w:tr>
    </w:tbl>
    <w:p>
      <w:pPr>
        <w:spacing w:after="120"/>
      </w:pPr>
      <w:r>
        <w:rPr>
          <w:rFonts w:ascii="Cambria" w:cs="Cambria" w:eastAsia="Cambria" w:hAnsi="Cambria"/>
          <w:i/>
          <w:iCs/>
          <w:color w:val="666666"/>
          <w:sz w:val="18"/>
          <w:szCs w:val="18"/>
        </w:rPr>
        <w:t xml:space="preserve">Table 3. Cross-domain structural comparison. Classification thresholds (RMS &lt; 0.05 = geometrically equivalent; RMS &gt; 0.5 = structurally different) are empirically established from the Lloyd Framework validation journal across 35+ domain comparisons, where systems with known identical geometry (e.g., Ohm's law under reparameterisation) consistently produce RMS &lt; 0.02, and known-different systems produce RMS &gt; 0.5.</w:t>
      </w:r>
    </w:p>
    <w:p>
      <w:pPr>
        <w:spacing w:after="200" w:line="276"/>
      </w:pPr>
      <w:r>
        <w:rPr>
          <w:rFonts w:ascii="Cambria" w:cs="Cambria" w:eastAsia="Cambria" w:hAnsi="Cambria"/>
          <w:sz w:val="22"/>
          <w:szCs w:val="22"/>
        </w:rPr>
        <w:t xml:space="preserve">The framework correctly identifies that a photonic directional coupler and quantum Rabi oscillation share near-identical constraint surface geometry (RMS = 0.016) — both are SU(2) rotations. It correctly discriminates all thermodynamic comparisons (RMS &gt; 0.27). The finding that ring resonator critical coupling is structurally different from Van der Waals criticality (RMS = 1.047) — despite both being "critical points" where an observable diverges — establishes that the ring resonator singularity belongs to its own geometric universality class.</w:t>
      </w:r>
    </w:p>
    <w:p>
      <w:pPr>
        <w:pStyle w:val="Heading1"/>
      </w:pPr>
      <w:r>
        <w:rPr>
          <w:rFonts w:ascii="Cambria" w:cs="Cambria" w:eastAsia="Cambria" w:hAnsi="Cambria"/>
          <w:b/>
          <w:bCs/>
          <w:sz w:val="32"/>
          <w:szCs w:val="32"/>
        </w:rPr>
        <w:t xml:space="preserve">6. Constraint Surface Characterisation</w:t>
      </w:r>
    </w:p>
    <w:p>
      <w:pPr>
        <w:spacing w:after="200" w:line="276"/>
      </w:pPr>
      <w:r>
        <w:rPr>
          <w:rFonts w:ascii="Cambria" w:cs="Cambria" w:eastAsia="Cambria" w:hAnsi="Cambria"/>
          <w:sz w:val="22"/>
          <w:szCs w:val="22"/>
        </w:rPr>
        <w:t xml:space="preserve">We characterise five photonic preset equations spanning the full range of coupler physics, from textbook synchronous transfer to nonlinear Kerr bifurcation and ring resonator critical 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1360"/>
        <w:gridCol w:w="1200"/>
        <w:gridCol w:w="1200"/>
        <w:gridCol w:w="1600"/>
      </w:tblGrid>
      <w:tr>
        <w:tc>
          <w:tcPr>
            <w:tcW w:type="dxa" w:w="18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Preset</w:t>
            </w:r>
          </w:p>
        </w:tc>
        <w:tc>
          <w:tcPr>
            <w:tcW w:type="dxa" w:w="12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K_G</w:t>
            </w:r>
          </w:p>
        </w:tc>
        <w:tc>
          <w:tcPr>
            <w:tcW w:type="dxa" w:w="10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Class</w:t>
            </w:r>
          </w:p>
        </w:tc>
        <w:tc>
          <w:tcPr>
            <w:tcW w:type="dxa" w:w="136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Shape</w:t>
            </w:r>
          </w:p>
        </w:tc>
        <w:tc>
          <w:tcPr>
            <w:tcW w:type="dxa" w:w="12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Closure</w:t>
            </w:r>
          </w:p>
        </w:tc>
        <w:tc>
          <w:tcPr>
            <w:tcW w:type="dxa" w:w="12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ρ</w:t>
            </w:r>
          </w:p>
        </w:tc>
        <w:tc>
          <w:tcPr>
            <w:tcW w:type="dxa" w:w="1600"/>
            <w:tcBorders>
              <w:top w:val="single" w:color="999999" w:sz="1"/>
              <w:left w:val="single" w:color="999999" w:sz="1"/>
              <w:bottom w:val="single" w:color="999999" w:sz="1"/>
              <w:right w:val="single" w:color="999999" w:sz="1"/>
            </w:tcBorders>
            <w:shd w:fill="2E4057" w:val="clear"/>
            <w:tcMar>
              <w:top w:type="dxa" w:w="40"/>
              <w:left w:type="dxa" w:w="80"/>
              <w:bottom w:type="dxa" w:w="40"/>
              <w:right w:type="dxa" w:w="80"/>
            </w:tcMar>
          </w:tcPr>
          <w:p>
            <w:r>
              <w:rPr>
                <w:rFonts w:ascii="Cambria" w:cs="Cambria" w:eastAsia="Cambria" w:hAnsi="Cambria"/>
                <w:b/>
                <w:bCs/>
                <w:color w:val="FFFFFF"/>
                <w:sz w:val="20"/>
                <w:szCs w:val="20"/>
              </w:rPr>
              <w:t xml:space="preserve">Key finding</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Sync</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2.5×10⁻⁴</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Bowl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0.52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Flat baseline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Async</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−336.5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Saddle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−0.001</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Fab. sensitivity</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Kerr</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0.030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Bowl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263</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Bifurcation</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Lossy</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1.958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Bowl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0.13</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Loss-stable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Ring</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1.388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2</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Bowl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2→2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4.26</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Cambria" w:cs="Cambria" w:eastAsia="Cambria" w:hAnsi="Cambria"/>
                <w:b w:val="false"/>
                <w:bCs w:val="false"/>
                <w:color w:val="000000"/>
                <w:sz w:val="20"/>
                <w:szCs w:val="20"/>
              </w:rPr>
              <w:t xml:space="preserve">Critical sing.</w:t>
            </w:r>
          </w:p>
        </w:tc>
      </w:tr>
    </w:tbl>
    <w:p>
      <w:pPr>
        <w:spacing w:after="120"/>
      </w:pPr>
      <w:r>
        <w:rPr>
          <w:rFonts w:ascii="Cambria" w:cs="Cambria" w:eastAsia="Cambria" w:hAnsi="Cambria"/>
          <w:i/>
          <w:iCs/>
          <w:color w:val="666666"/>
          <w:sz w:val="18"/>
          <w:szCs w:val="18"/>
        </w:rPr>
        <w:t xml:space="preserve">Table 4. Geometric fingerprint of five photonic presets at nominal operating points. ρ = closure concentration ratio K_G¹/K_G⁰. All Class 1 systems transition to Class 2 under recursive closure, confirming Corollary 5 of Theorem 8.1.</w:t>
      </w:r>
    </w:p>
    <w:p>
      <w:pPr>
        <w:spacing w:after="200" w:line="276"/>
      </w:pPr>
      <w:r>
        <w:rPr>
          <w:rFonts w:ascii="Cambria" w:cs="Cambria" w:eastAsia="Cambria" w:hAnsi="Cambria"/>
          <w:sz w:val="22"/>
          <w:szCs w:val="22"/>
        </w:rPr>
        <w:t xml:space="preserve">The Kerr coupler's closure concentration ratio of 263 indicates that single-point K</w:t>
      </w:r>
      <w:r>
        <w:rPr>
          <w:rFonts w:ascii="Cambria" w:cs="Cambria" w:eastAsia="Cambria" w:hAnsi="Cambria"/>
          <w:i/>
          <w:iCs/>
          <w:sz w:val="22"/>
          <w:szCs w:val="22"/>
        </w:rPr>
        <w:t xml:space="preserve">G</w:t>
      </w:r>
      <w:r>
        <w:rPr>
          <w:rFonts w:ascii="Cambria" w:cs="Cambria" w:eastAsia="Cambria" w:hAnsi="Cambria"/>
          <w:sz w:val="22"/>
          <w:szCs w:val="22"/>
        </w:rPr>
        <w:t xml:space="preserve"> captures only 0.4% of the total geometric content; the full closure pipeline is essential. The asynchronous coupler's Δβ sweep reveals K</w:t>
      </w:r>
      <w:r>
        <w:rPr>
          <w:rFonts w:ascii="Cambria" w:cs="Cambria" w:eastAsia="Cambria" w:hAnsi="Cambria"/>
          <w:i/>
          <w:iCs/>
          <w:sz w:val="22"/>
          <w:szCs w:val="22"/>
        </w:rPr>
        <w:t xml:space="preserve">G</w:t>
      </w:r>
      <w:r>
        <w:rPr>
          <w:rFonts w:ascii="Cambria" w:cs="Cambria" w:eastAsia="Cambria" w:hAnsi="Cambria"/>
          <w:sz w:val="22"/>
          <w:szCs w:val="22"/>
        </w:rPr>
        <w:t xml:space="preserve"> ∝ 1/Δβ² with no sign changes — a monotonic relationship between detuning and curvature that directly quantifies fabrication sensitivity as a geometric invariant. The ring resonator's K</w:t>
      </w:r>
      <w:r>
        <w:rPr>
          <w:rFonts w:ascii="Cambria" w:cs="Cambria" w:eastAsia="Cambria" w:hAnsi="Cambria"/>
          <w:i/>
          <w:iCs/>
          <w:sz w:val="22"/>
          <w:szCs w:val="22"/>
        </w:rPr>
        <w:t xml:space="preserve">G</w:t>
      </w:r>
      <w:r>
        <w:rPr>
          <w:rFonts w:ascii="Cambria" w:cs="Cambria" w:eastAsia="Cambria" w:hAnsi="Cambria"/>
          <w:sz w:val="22"/>
          <w:szCs w:val="22"/>
        </w:rPr>
        <w:t xml:space="preserve"> spike to −418.7 at critical coupling (a = t), with principal direction exactly along (−0.707, +0.707, 0), geometrically identifies both the singularity and the escape direction.</w:t>
      </w:r>
    </w:p>
    <w:p>
      <w:pPr>
        <w:pStyle w:val="Heading1"/>
      </w:pPr>
      <w:r>
        <w:rPr>
          <w:rFonts w:ascii="Cambria" w:cs="Cambria" w:eastAsia="Cambria" w:hAnsi="Cambria"/>
          <w:b/>
          <w:bCs/>
          <w:sz w:val="32"/>
          <w:szCs w:val="32"/>
        </w:rPr>
        <w:t xml:space="preserve">7. Discussion</w:t>
      </w:r>
    </w:p>
    <w:p>
      <w:pPr>
        <w:pStyle w:val="Heading2"/>
      </w:pPr>
      <w:r>
        <w:rPr>
          <w:rFonts w:ascii="Cambria" w:cs="Cambria" w:eastAsia="Cambria" w:hAnsi="Cambria"/>
          <w:b/>
          <w:bCs/>
          <w:sz w:val="26"/>
          <w:szCs w:val="26"/>
        </w:rPr>
        <w:t xml:space="preserve">7.1 Implications for photonic computing</w:t>
      </w:r>
    </w:p>
    <w:p>
      <w:pPr>
        <w:spacing w:after="200" w:line="276"/>
      </w:pPr>
      <w:r>
        <w:rPr>
          <w:rFonts w:ascii="Cambria" w:cs="Cambria" w:eastAsia="Cambria" w:hAnsi="Cambria"/>
          <w:sz w:val="22"/>
          <w:szCs w:val="22"/>
        </w:rPr>
        <w:t xml:space="preserve">The scaling wall at N ≈ 64–256 exists because splitting ratio errors are uncorrectable </w:t>
      </w:r>
      <w:r>
        <w:rPr>
          <w:rFonts w:ascii="Cambria" w:cs="Cambria" w:eastAsia="Cambria" w:hAnsi="Cambria"/>
          <w:i/>
          <w:iCs/>
          <w:sz w:val="22"/>
          <w:szCs w:val="22"/>
        </w:rPr>
        <w:t xml:space="preserve">and</w:t>
      </w:r>
      <w:r>
        <w:rPr>
          <w:rFonts w:ascii="Cambria" w:cs="Cambria" w:eastAsia="Cambria" w:hAnsi="Cambria"/>
          <w:sz w:val="22"/>
          <w:szCs w:val="22"/>
        </w:rPr>
        <w:t xml:space="preserve"> undetectable at the individual component level. This work removes the second constraint. If each MZI's splitting ratio can be measured via its K</w:t>
      </w:r>
      <w:r>
        <w:rPr>
          <w:rFonts w:ascii="Cambria" w:cs="Cambria" w:eastAsia="Cambria" w:hAnsi="Cambria"/>
          <w:i/>
          <w:iCs/>
          <w:sz w:val="22"/>
          <w:szCs w:val="22"/>
        </w:rPr>
        <w:t xml:space="preserve">G</w:t>
      </w:r>
      <w:r>
        <w:rPr>
          <w:rFonts w:ascii="Cambria" w:cs="Cambria" w:eastAsia="Cambria" w:hAnsi="Cambria"/>
          <w:sz w:val="22"/>
          <w:szCs w:val="22"/>
        </w:rPr>
        <w:t xml:space="preserve"> signature during wafer-level testing, the manufacturing response changes fundamentally: known-good-die screening replaces statistical yield management, and targeted routing around faulty components replaces blanket architectural redundancy. The 3-splitter fault-tolerant MZI — which requires 1.5–2× more components — becomes unnecessary for meshes where all components are individually characterised.</w:t>
      </w:r>
    </w:p>
    <w:p>
      <w:pPr>
        <w:pStyle w:val="Heading2"/>
      </w:pPr>
      <w:r>
        <w:rPr>
          <w:rFonts w:ascii="Cambria" w:cs="Cambria" w:eastAsia="Cambria" w:hAnsi="Cambria"/>
          <w:b/>
          <w:bCs/>
          <w:sz w:val="26"/>
          <w:szCs w:val="26"/>
        </w:rPr>
        <w:t xml:space="preserve">7.2 Towards in-situ monitoring</w:t>
      </w:r>
    </w:p>
    <w:p>
      <w:pPr>
        <w:spacing w:after="200" w:line="276"/>
      </w:pPr>
      <w:r>
        <w:rPr>
          <w:rFonts w:ascii="Cambria" w:cs="Cambria" w:eastAsia="Cambria" w:hAnsi="Cambria"/>
          <w:sz w:val="22"/>
          <w:szCs w:val="22"/>
        </w:rPr>
        <w:t xml:space="preserve">The isolation protocol demonstrated here requires setting non-test MZIs to pass-through, which is achievable in programmable meshes during maintenance windows. The exact invariance of K</w:t>
      </w:r>
      <w:r>
        <w:rPr>
          <w:rFonts w:ascii="Cambria" w:cs="Cambria" w:eastAsia="Cambria" w:hAnsi="Cambria"/>
          <w:i/>
          <w:iCs/>
          <w:sz w:val="22"/>
          <w:szCs w:val="22"/>
        </w:rPr>
        <w:t xml:space="preserve">G</w:t>
      </w:r>
      <w:r>
        <w:rPr>
          <w:rFonts w:ascii="Cambria" w:cs="Cambria" w:eastAsia="Cambria" w:hAnsi="Cambria"/>
          <w:sz w:val="22"/>
          <w:szCs w:val="22"/>
        </w:rPr>
        <w:t xml:space="preserve"> under T perturbations (Section 4.1) means that imperfect pass-through states — whether from residual phase offsets, thermal drift, or neighbouring heater crosstalk — do not degrade the diagnostic. A fully non-invasive protocol extracting per-MZI K</w:t>
      </w:r>
      <w:r>
        <w:rPr>
          <w:rFonts w:ascii="Cambria" w:cs="Cambria" w:eastAsia="Cambria" w:hAnsi="Cambria"/>
          <w:i/>
          <w:iCs/>
          <w:sz w:val="22"/>
          <w:szCs w:val="22"/>
        </w:rPr>
        <w:t xml:space="preserve">G</w:t>
      </w:r>
      <w:r>
        <w:rPr>
          <w:rFonts w:ascii="Cambria" w:cs="Cambria" w:eastAsia="Cambria" w:hAnsi="Cambria"/>
          <w:sz w:val="22"/>
          <w:szCs w:val="22"/>
        </w:rPr>
        <w:t xml:space="preserve"> from the global mesh response without isolation remains an open problem, but the demonstrated robustness to output perturbation is a necessary precondition for any such extension.</w:t>
      </w:r>
    </w:p>
    <w:p>
      <w:pPr>
        <w:pStyle w:val="Heading2"/>
      </w:pPr>
      <w:r>
        <w:rPr>
          <w:rFonts w:ascii="Cambria" w:cs="Cambria" w:eastAsia="Cambria" w:hAnsi="Cambria"/>
          <w:b/>
          <w:bCs/>
          <w:sz w:val="26"/>
          <w:szCs w:val="26"/>
        </w:rPr>
        <w:t xml:space="preserve">7.3 Single-point vs closure diagnostics</w:t>
      </w:r>
    </w:p>
    <w:p>
      <w:pPr>
        <w:spacing w:after="200" w:line="276"/>
      </w:pPr>
      <w:r>
        <w:rPr>
          <w:rFonts w:ascii="Cambria" w:cs="Cambria" w:eastAsia="Cambria" w:hAnsi="Cambria"/>
          <w:sz w:val="22"/>
          <w:szCs w:val="22"/>
        </w:rPr>
        <w:t xml:space="preserve">Table 4 shows that the Kerr coupler has a closure concentration ratio of ρ = 263, meaning single-point K</w:t>
      </w:r>
      <w:r>
        <w:rPr>
          <w:rFonts w:ascii="Cambria" w:cs="Cambria" w:eastAsia="Cambria" w:hAnsi="Cambria"/>
          <w:i/>
          <w:iCs/>
          <w:sz w:val="22"/>
          <w:szCs w:val="22"/>
        </w:rPr>
        <w:t xml:space="preserve">G</w:t>
      </w:r>
      <w:r>
        <w:rPr>
          <w:rFonts w:ascii="Cambria" w:cs="Cambria" w:eastAsia="Cambria" w:hAnsi="Cambria"/>
          <w:sz w:val="22"/>
          <w:szCs w:val="22"/>
        </w:rPr>
        <w:t xml:space="preserve"> captures only 0.4% of the total geometric content for that system. This naturally raises the question: is single-point K</w:t>
      </w:r>
      <w:r>
        <w:rPr>
          <w:rFonts w:ascii="Cambria" w:cs="Cambria" w:eastAsia="Cambria" w:hAnsi="Cambria"/>
          <w:i/>
          <w:iCs/>
          <w:sz w:val="22"/>
          <w:szCs w:val="22"/>
        </w:rPr>
        <w:t xml:space="preserve">G</w:t>
      </w:r>
      <w:r>
        <w:rPr>
          <w:rFonts w:ascii="Cambria" w:cs="Cambria" w:eastAsia="Cambria" w:hAnsi="Cambria"/>
          <w:sz w:val="22"/>
          <w:szCs w:val="22"/>
        </w:rPr>
        <w:t xml:space="preserve"> sufficient for the MZI diagnostic? The answer is yes, and the reason is precisely the Class 1 structure that also provides isolation robustness. The MZI constraint is quadratic in r, linear in T, and trigonometric in θ — a simple curvature structure with a monotonic parabolic K</w:t>
      </w:r>
      <w:r>
        <w:rPr>
          <w:rFonts w:ascii="Cambria" w:cs="Cambria" w:eastAsia="Cambria" w:hAnsi="Cambria"/>
          <w:i/>
          <w:iCs/>
          <w:sz w:val="22"/>
          <w:szCs w:val="22"/>
        </w:rPr>
        <w:t xml:space="preserve">G</w:t>
      </w:r>
      <w:r>
        <w:rPr>
          <w:rFonts w:ascii="Cambria" w:cs="Cambria" w:eastAsia="Cambria" w:hAnsi="Cambria"/>
          <w:sz w:val="22"/>
          <w:szCs w:val="22"/>
        </w:rPr>
        <w:t xml:space="preserve"> profile. The Kerr coupler, by contrast, has five K</w:t>
      </w:r>
      <w:r>
        <w:rPr>
          <w:rFonts w:ascii="Cambria" w:cs="Cambria" w:eastAsia="Cambria" w:hAnsi="Cambria"/>
          <w:i/>
          <w:iCs/>
          <w:sz w:val="22"/>
          <w:szCs w:val="22"/>
        </w:rPr>
        <w:t xml:space="preserve">G</w:t>
      </w:r>
      <w:r>
        <w:rPr>
          <w:rFonts w:ascii="Cambria" w:cs="Cambria" w:eastAsia="Cambria" w:hAnsi="Cambria"/>
          <w:sz w:val="22"/>
          <w:szCs w:val="22"/>
        </w:rPr>
        <w:t xml:space="preserve"> sign changes and a bifurcation — its profile oscillates wildly, so the curvature of the profile itself carries essential information that single-point measurement misses. For the MZI, the K</w:t>
      </w:r>
      <w:r>
        <w:rPr>
          <w:rFonts w:ascii="Cambria" w:cs="Cambria" w:eastAsia="Cambria" w:hAnsi="Cambria"/>
          <w:i/>
          <w:iCs/>
          <w:sz w:val="22"/>
          <w:szCs w:val="22"/>
        </w:rPr>
        <w:t xml:space="preserve">G</w:t>
      </w:r>
      <w:r>
        <w:rPr>
          <w:rFonts w:ascii="Cambria" w:cs="Cambria" w:eastAsia="Cambria" w:hAnsi="Cambria"/>
          <w:sz w:val="22"/>
          <w:szCs w:val="22"/>
        </w:rPr>
        <w:t xml:space="preserve"> profile IS the parabola, and measuring one point on a parabola tells you everything about it. The closure pipeline is essential when the K</w:t>
      </w:r>
      <w:r>
        <w:rPr>
          <w:rFonts w:ascii="Cambria" w:cs="Cambria" w:eastAsia="Cambria" w:hAnsi="Cambria"/>
          <w:i/>
          <w:iCs/>
          <w:sz w:val="22"/>
          <w:szCs w:val="22"/>
        </w:rPr>
        <w:t xml:space="preserve">G</w:t>
      </w:r>
      <w:r>
        <w:rPr>
          <w:rFonts w:ascii="Cambria" w:cs="Cambria" w:eastAsia="Cambria" w:hAnsi="Cambria"/>
          <w:sz w:val="22"/>
          <w:szCs w:val="22"/>
        </w:rPr>
        <w:t xml:space="preserve"> profile has structure that a single point cannot resolve; for the MZI splitting ratio diagnostic, it does not.</w:t>
      </w:r>
    </w:p>
    <w:p>
      <w:pPr>
        <w:pStyle w:val="Heading2"/>
      </w:pPr>
      <w:r>
        <w:rPr>
          <w:rFonts w:ascii="Cambria" w:cs="Cambria" w:eastAsia="Cambria" w:hAnsi="Cambria"/>
          <w:b/>
          <w:bCs/>
          <w:sz w:val="26"/>
          <w:szCs w:val="26"/>
        </w:rPr>
        <w:t xml:space="preserve">7.4 Limitations</w:t>
      </w:r>
    </w:p>
    <w:p>
      <w:pPr>
        <w:spacing w:after="200" w:line="276"/>
      </w:pPr>
      <w:r>
        <w:rPr>
          <w:rFonts w:ascii="Cambria" w:cs="Cambria" w:eastAsia="Cambria" w:hAnsi="Cambria"/>
          <w:sz w:val="22"/>
          <w:szCs w:val="22"/>
        </w:rPr>
        <w:t xml:space="preserve">The current validation is entirely synthetic. While the analytical model is calibrated to published foundry data, validation on physically measured devices (e.g., using the SiP-Variability dataset or Warshavsky CC3 data) would strengthen the result. Thermal drift detection is the weakest fault family (AUC = 0.76 at 1% noise), reflecting the small Δβ perturbation from thermal gradients. The minimum detectable error of 4% exceeds the best-foundry variation (σ ≈ 1–2%), meaning the method detects manufacturing outliers rather than population variation — which is precisely the deployment target.</w:t>
      </w:r>
    </w:p>
    <w:p>
      <w:pPr>
        <w:pStyle w:val="Heading2"/>
      </w:pPr>
      <w:r>
        <w:rPr>
          <w:rFonts w:ascii="Cambria" w:cs="Cambria" w:eastAsia="Cambria" w:hAnsi="Cambria"/>
          <w:b/>
          <w:bCs/>
          <w:sz w:val="26"/>
          <w:szCs w:val="26"/>
        </w:rPr>
        <w:t xml:space="preserve">7.5 Relationship to existing work</w:t>
      </w:r>
    </w:p>
    <w:p>
      <w:pPr>
        <w:spacing w:after="200" w:line="276"/>
      </w:pPr>
      <w:r>
        <w:rPr>
          <w:rFonts w:ascii="Cambria" w:cs="Cambria" w:eastAsia="Cambria" w:hAnsi="Cambria"/>
          <w:sz w:val="22"/>
          <w:szCs w:val="22"/>
        </w:rPr>
        <w:t xml:space="preserve">No published work uses geometric or topological invariants as compact diagnostic signatures for individual photonic circuit components. The Cherchi SU(2)/Poincaré sphere framework (2003) provides a geometric design tool for directional couplers but is not used for diagnostics. The Hamerly et al. scaling analysis (2022) characterises error accumulation statistically but does not address individual component identification. The CLIPP non-invasive monitoring approach measures power only (not phase) and has demonstrated operation on 8×8 fabrics, while the present method operates on the constraint equation directly. The interpretable geometry sensitivity work of arXiv:2510.22176 (2025) shows that pixel-level geometric signatures predict fabricated device behaviour with 11× discrimination — a conceptually convergent direction that validates the geometric invariant approach.</w:t>
      </w:r>
    </w:p>
    <w:p>
      <w:pPr>
        <w:pStyle w:val="Heading1"/>
      </w:pPr>
      <w:r>
        <w:rPr>
          <w:rFonts w:ascii="Cambria" w:cs="Cambria" w:eastAsia="Cambria" w:hAnsi="Cambria"/>
          <w:b/>
          <w:bCs/>
          <w:sz w:val="32"/>
          <w:szCs w:val="32"/>
        </w:rPr>
        <w:t xml:space="preserve">8. Conclusion</w:t>
      </w:r>
    </w:p>
    <w:p>
      <w:pPr>
        <w:spacing w:after="200" w:line="276"/>
      </w:pPr>
      <w:r>
        <w:rPr>
          <w:rFonts w:ascii="Cambria" w:cs="Cambria" w:eastAsia="Cambria" w:hAnsi="Cambria"/>
          <w:sz w:val="22"/>
          <w:szCs w:val="22"/>
        </w:rPr>
        <w:t xml:space="preserve">We have demonstrated that the Gaussian curvature of the coupled-mode theory constraint surface provides a sub-millisecond, per-component fault diagnostic for silicon photonic MZI meshes. The key finding — that K</w:t>
      </w:r>
      <w:r>
        <w:rPr>
          <w:rFonts w:ascii="Cambria" w:cs="Cambria" w:eastAsia="Cambria" w:hAnsi="Cambria"/>
          <w:i/>
          <w:iCs/>
          <w:sz w:val="22"/>
          <w:szCs w:val="22"/>
        </w:rPr>
        <w:t xml:space="preserve">G</w:t>
      </w:r>
      <w:r>
        <w:rPr>
          <w:rFonts w:ascii="Cambria" w:cs="Cambria" w:eastAsia="Cambria" w:hAnsi="Cambria"/>
          <w:sz w:val="22"/>
          <w:szCs w:val="22"/>
        </w:rPr>
        <w:t xml:space="preserve"> = 0 is the unique geometric signature of a perfect beam splitter, broken by any splitting ratio error — converts fault localization from an ill-posed inverse problem to a direct geometric measurement.</w:t>
      </w:r>
    </w:p>
    <w:p>
      <w:pPr>
        <w:spacing w:after="200" w:line="276"/>
      </w:pPr>
      <w:r>
        <w:rPr>
          <w:rFonts w:ascii="Cambria" w:cs="Cambria" w:eastAsia="Cambria" w:hAnsi="Cambria"/>
          <w:sz w:val="22"/>
          <w:szCs w:val="22"/>
        </w:rPr>
        <w:t xml:space="preserve">The method achieves 100% localization accuracy on a 4×4 mesh, correctly identifies multiple simultaneous faults, detects errors at the 4% threshold relevant to manufacturing outliers, and runs 2,352 diagnostics in 1.3 seconds. Cross-domain validation confirms the invariant measures genuine constraint geometry. The approach requires no training data, no simulation, no internal probes, and no iterative optimisation — only the constraint equation and the operating point.</w:t>
      </w:r>
    </w:p>
    <w:p>
      <w:pPr>
        <w:spacing w:after="200" w:line="276"/>
      </w:pPr>
      <w:r>
        <w:rPr>
          <w:rFonts w:ascii="Cambria" w:cs="Cambria" w:eastAsia="Cambria" w:hAnsi="Cambria"/>
          <w:sz w:val="22"/>
          <w:szCs w:val="22"/>
        </w:rPr>
        <w:t xml:space="preserve">We release the photonic benchmark dataset (2,352 couplers, 12 fault types, CC BY 4.0) as the first open geometric diagnostic benchmark for silicon photonics, and provide the photonic adapter as a reusable component for the Lloyd Framework workbench.</w:t>
      </w:r>
    </w:p>
    <w:p>
      <w:pPr>
        <w:spacing w:after="200" w:line="276"/>
      </w:pPr>
      <w:r>
        <w:rPr>
          <w:rFonts w:ascii="Cambria" w:cs="Cambria" w:eastAsia="Cambria" w:hAnsi="Cambria"/>
          <w:sz w:val="22"/>
          <w:szCs w:val="22"/>
        </w:rPr>
        <w:t xml:space="preserve">If the splitting ratio error is the lock on the scaling wall, K</w:t>
      </w:r>
      <w:r>
        <w:rPr>
          <w:rFonts w:ascii="Cambria" w:cs="Cambria" w:eastAsia="Cambria" w:hAnsi="Cambria"/>
          <w:i/>
          <w:iCs/>
          <w:sz w:val="22"/>
          <w:szCs w:val="22"/>
        </w:rPr>
        <w:t xml:space="preserve">G</w:t>
      </w:r>
      <w:r>
        <w:rPr>
          <w:rFonts w:ascii="Cambria" w:cs="Cambria" w:eastAsia="Cambria" w:hAnsi="Cambria"/>
          <w:sz w:val="22"/>
          <w:szCs w:val="22"/>
        </w:rPr>
        <w:t xml:space="preserve"> is the key. Not because it corrects the error — it does not — but because it </w:t>
      </w:r>
      <w:r>
        <w:rPr>
          <w:rFonts w:ascii="Cambria" w:cs="Cambria" w:eastAsia="Cambria" w:hAnsi="Cambria"/>
          <w:i/>
          <w:iCs/>
          <w:sz w:val="22"/>
          <w:szCs w:val="22"/>
        </w:rPr>
        <w:t xml:space="preserve">finds</w:t>
      </w:r>
      <w:r>
        <w:rPr>
          <w:rFonts w:ascii="Cambria" w:cs="Cambria" w:eastAsia="Cambria" w:hAnsi="Cambria"/>
          <w:sz w:val="22"/>
          <w:szCs w:val="22"/>
        </w:rPr>
        <w:t xml:space="preserve"> it. And once you can find it, the architectural response changes completely.</w:t>
      </w:r>
    </w:p>
    <w:p>
      <w:pPr>
        <w:pStyle w:val="Heading1"/>
      </w:pPr>
      <w:r>
        <w:rPr>
          <w:rFonts w:ascii="Cambria" w:cs="Cambria" w:eastAsia="Cambria" w:hAnsi="Cambria"/>
          <w:b/>
          <w:bCs/>
          <w:sz w:val="32"/>
          <w:szCs w:val="32"/>
        </w:rPr>
        <w:t xml:space="preserve">Data Availability</w:t>
      </w:r>
    </w:p>
    <w:p>
      <w:pPr>
        <w:spacing w:after="200" w:line="276"/>
      </w:pPr>
      <w:r>
        <w:rPr>
          <w:rFonts w:ascii="Cambria" w:cs="Cambria" w:eastAsia="Cambria" w:hAnsi="Cambria"/>
          <w:sz w:val="22"/>
          <w:szCs w:val="22"/>
        </w:rPr>
        <w:t xml:space="preserve">The photonic benchmark dataset, validation scripts, and MZI mesh localization experiment are available at the project repository under CC BY 4.0 licence. The Lloyd Framework workbench and photonic adapter are available under the terms specified in AU 2026902758 and AU 2026902926.</w:t>
      </w:r>
    </w:p>
    <w:p>
      <w:r>
        <w:br w:type="page"/>
      </w:r>
    </w:p>
    <w:p>
      <w:pPr>
        <w:pStyle w:val="Heading1"/>
      </w:pPr>
      <w:r>
        <w:rPr>
          <w:rFonts w:ascii="Cambria" w:cs="Cambria" w:eastAsia="Cambria" w:hAnsi="Cambria"/>
          <w:b/>
          <w:bCs/>
          <w:sz w:val="32"/>
          <w:szCs w:val="32"/>
        </w:rPr>
        <w:t xml:space="preserve">References</w:t>
      </w:r>
    </w:p>
    <w:p>
      <w:pPr>
        <w:spacing w:after="200" w:line="276"/>
      </w:pPr>
      <w:r>
        <w:rPr>
          <w:rFonts w:ascii="Cambria" w:cs="Cambria" w:eastAsia="Cambria" w:hAnsi="Cambria"/>
          <w:sz w:val="22"/>
          <w:szCs w:val="22"/>
        </w:rPr>
        <w:t xml:space="preserve">[1] R. Hamerly, S. Bandyopadhyay, and D. Englund, “Asymptotically fault-tolerant programmable photonics,” Nature Communications, vol. 13, no. 1, art. 6714, 2022. doi: 10.1038/s41467-022-34308-3</w:t>
      </w:r>
    </w:p>
    <w:p>
      <w:pPr>
        <w:spacing w:after="200" w:line="276"/>
      </w:pPr>
      <w:r>
        <w:rPr>
          <w:rFonts w:ascii="Cambria" w:cs="Cambria" w:eastAsia="Cambria" w:hAnsi="Cambria"/>
          <w:sz w:val="22"/>
          <w:szCs w:val="22"/>
        </w:rPr>
        <w:t xml:space="preserve">[2] W. Lloyd, “Invariant Preservation under Role Transposition: Theorem 8.1 of the Directive-Based Products Framework,” unpublished manuscript, March 2026. Patent AU 2026902758.</w:t>
      </w:r>
    </w:p>
    <w:p>
      <w:pPr>
        <w:spacing w:after="200" w:line="276"/>
      </w:pPr>
      <w:r>
        <w:rPr>
          <w:rFonts w:ascii="Cambria" w:cs="Cambria" w:eastAsia="Cambria" w:hAnsi="Cambria"/>
          <w:sz w:val="22"/>
          <w:szCs w:val="22"/>
        </w:rPr>
        <w:t xml:space="preserve">[3] Y. Warshavsky, Y. Drori, E. Piasetzky et al., “Accurate Modeling of Directional Couplers with Oxide Cladding: Bridging Simulation and Experiment,” IEEE J. Lightwave Technol., 2025. arXiv: 2502.02515. Dataset: IEEE DataPort, DOI: 10.21227/ktn4-v063</w:t>
      </w:r>
    </w:p>
    <w:p>
      <w:pPr>
        <w:spacing w:after="200" w:line="276"/>
      </w:pPr>
      <w:r>
        <w:rPr>
          <w:rFonts w:ascii="Cambria" w:cs="Cambria" w:eastAsia="Cambria" w:hAnsi="Cambria"/>
          <w:sz w:val="22"/>
          <w:szCs w:val="22"/>
        </w:rPr>
        <w:t xml:space="preserve">[4] Y. Drori, Y. Warshavsky et al., “Robust Characterization of Integrated Photonics Directional Couplers,” arXiv: 2412.11670, 2024.</w:t>
      </w:r>
    </w:p>
    <w:p>
      <w:pPr>
        <w:spacing w:after="200" w:line="276"/>
      </w:pPr>
      <w:r>
        <w:rPr>
          <w:rFonts w:ascii="Cambria" w:cs="Cambria" w:eastAsia="Cambria" w:hAnsi="Cambria"/>
          <w:sz w:val="22"/>
          <w:szCs w:val="22"/>
        </w:rPr>
        <w:t xml:space="preserve">[5] A. El-Saeed, Q. Deng et al., “Low-Loss Silicon Directional Coupler with Arbitrary Coupling Ratios for Broadband Wavelength Operation Based on Bent Waveguides,” arXiv: 2404.06117, 2024.</w:t>
      </w:r>
    </w:p>
    <w:p>
      <w:pPr>
        <w:spacing w:after="200" w:line="276"/>
      </w:pPr>
      <w:r>
        <w:rPr>
          <w:rFonts w:ascii="Cambria" w:cs="Cambria" w:eastAsia="Cambria" w:hAnsi="Cambria"/>
          <w:sz w:val="22"/>
          <w:szCs w:val="22"/>
        </w:rPr>
        <w:t xml:space="preserve">[6] W. Bogaerts, M. Dahlem et al., “Silicon Photonics Circuit Design: Methods, Tools and Challenges,” Laser &amp; Photonics Reviews, vol. 12, no. 4, art. 1700237, 2018.</w:t>
      </w:r>
    </w:p>
    <w:p>
      <w:pPr>
        <w:spacing w:after="200" w:line="276"/>
      </w:pPr>
      <w:r>
        <w:rPr>
          <w:rFonts w:ascii="Cambria" w:cs="Cambria" w:eastAsia="Cambria" w:hAnsi="Cambria"/>
          <w:sz w:val="22"/>
          <w:szCs w:val="22"/>
        </w:rPr>
        <w:t xml:space="preserve">[7] Y. Xing, J. Dong, S. Khan et al., “Capturing the Effects of Spatial Process Variations in Silicon Photonic Circuits,” ACS Photonics, vol. 10, no. 3, pp. 928–937, 2023. doi: 10.1021/acsphotonics.2c01194</w:t>
      </w:r>
    </w:p>
    <w:p>
      <w:pPr>
        <w:spacing w:after="200" w:line="276"/>
      </w:pPr>
      <w:r>
        <w:rPr>
          <w:rFonts w:ascii="Cambria" w:cs="Cambria" w:eastAsia="Cambria" w:hAnsi="Cambria"/>
          <w:sz w:val="22"/>
          <w:szCs w:val="22"/>
        </w:rPr>
        <w:t xml:space="preserve">[8] M. Cherchi, “Wavelength-flattened directional couplers: a geometrical approach,” Applied Optics, vol. 42, no. 36, pp. 7141–7148, 2003.</w:t>
      </w:r>
    </w:p>
    <w:p>
      <w:pPr>
        <w:spacing w:after="200" w:line="276"/>
      </w:pPr>
      <w:r>
        <w:rPr>
          <w:rFonts w:ascii="Cambria" w:cs="Cambria" w:eastAsia="Cambria" w:hAnsi="Cambria"/>
          <w:sz w:val="22"/>
          <w:szCs w:val="22"/>
        </w:rPr>
        <w:t xml:space="preserve">[9] Y. Shen, N. C. Harris et al., “Deep learning with coherent nanophotonic circuits,” Nature Photonics, vol. 11, pp. 441–446, 2017.</w:t>
      </w:r>
    </w:p>
    <w:p>
      <w:pPr>
        <w:spacing w:after="200" w:line="276"/>
      </w:pPr>
      <w:r>
        <w:rPr>
          <w:rFonts w:ascii="Cambria" w:cs="Cambria" w:eastAsia="Cambria" w:hAnsi="Cambria"/>
          <w:sz w:val="22"/>
          <w:szCs w:val="22"/>
        </w:rPr>
        <w:t xml:space="preserve">[10] S. M. Jensen, “The Nonlinear Coherent Coupler,” IEEE J. Quantum Electronics, vol. 18, no. 10, pp. 1580–1583, 1982.</w:t>
      </w:r>
    </w:p>
    <w:p>
      <w:pPr>
        <w:spacing w:after="200" w:line="276"/>
      </w:pPr>
      <w:r>
        <w:rPr>
          <w:rFonts w:ascii="Cambria" w:cs="Cambria" w:eastAsia="Cambria" w:hAnsi="Cambria"/>
          <w:sz w:val="22"/>
          <w:szCs w:val="22"/>
        </w:rPr>
        <w:t xml:space="preserve">[11] L. Chrostowski and M. Hochberg, Silicon Photonics Design: From Devices to Systems. Cambridge University Press, 2015.</w:t>
      </w:r>
    </w:p>
    <w:p>
      <w:pPr>
        <w:spacing w:after="200" w:line="276"/>
      </w:pPr>
      <w:r>
        <w:rPr>
          <w:rFonts w:ascii="Cambria" w:cs="Cambria" w:eastAsia="Cambria" w:hAnsi="Cambria"/>
          <w:sz w:val="22"/>
          <w:szCs w:val="22"/>
        </w:rPr>
        <w:t xml:space="preserve">[12] S. Bandyopadhyay, R. Hamerly et al., “High-precision automated setting of arbitrary magnitude and phase of Mach-Zehnder interferometers for scalable optical computing,” arXiv: 2502.12869, 2025.</w:t>
      </w:r>
    </w:p>
    <w:p>
      <w:pPr>
        <w:spacing w:after="200" w:line="276"/>
      </w:pPr>
      <w:r>
        <w:rPr>
          <w:rFonts w:ascii="Cambria" w:cs="Cambria" w:eastAsia="Cambria" w:hAnsi="Cambria"/>
          <w:sz w:val="22"/>
          <w:szCs w:val="22"/>
        </w:rPr>
        <w:t xml:space="preserve">[13] D. Pérez-López, A. López et al., “General-purpose programmable photonic processor for advanced radiofrequency applications,” Nature Communications, vol. 15, art. 1563, 2024.</w:t>
      </w:r>
    </w:p>
    <w:p>
      <w:pPr>
        <w:spacing w:after="200" w:line="276"/>
      </w:pPr>
      <w:r>
        <w:rPr>
          <w:rFonts w:ascii="Cambria" w:cs="Cambria" w:eastAsia="Cambria" w:hAnsi="Cambria"/>
          <w:sz w:val="22"/>
          <w:szCs w:val="22"/>
        </w:rPr>
        <w:t xml:space="preserve">[14] W. R. Clements, P. C. Humphreys et al., “Optimal design for universal multiport interferometers,” Optica, vol. 3, no. 12, pp. 1460–1465, 2016.</w:t>
      </w:r>
    </w:p>
    <w:p>
      <w:pPr>
        <w:spacing w:after="200" w:line="276"/>
      </w:pPr>
      <w:r>
        <w:rPr>
          <w:rFonts w:ascii="Cambria" w:cs="Cambria" w:eastAsia="Cambria" w:hAnsi="Cambria"/>
          <w:sz w:val="22"/>
          <w:szCs w:val="22"/>
        </w:rPr>
        <w:t xml:space="preserve">[15] M. Reck, A. Zeilinger et al., “Experimental realization of any discrete unitary operator,” Phys. Rev. Lett., vol. 73, no. 1, pp. 58–61, 1994.</w:t>
      </w:r>
    </w:p>
    <w:p>
      <w:pPr>
        <w:spacing w:after="200" w:line="276"/>
      </w:pPr>
      <w:r>
        <w:rPr>
          <w:rFonts w:ascii="Cambria" w:cs="Cambria" w:eastAsia="Cambria" w:hAnsi="Cambria"/>
          <w:sz w:val="22"/>
          <w:szCs w:val="22"/>
        </w:rPr>
        <w:t xml:space="preserve">[16] F. Morichetti, S. Grillanda et al., “Non-invasive on-chip light observation by contactless waveguide conductivity monitoring,” IEEE J. Selected Topics in Quantum Electronics, vol. 20, no. 4, art. 8201710, 2014.</w:t>
      </w:r>
    </w:p>
    <w:p>
      <w:pPr>
        <w:spacing w:after="200" w:line="276"/>
      </w:pPr>
      <w:r>
        <w:rPr>
          <w:rFonts w:ascii="Cambria" w:cs="Cambria" w:eastAsia="Cambria" w:hAnsi="Cambria"/>
          <w:sz w:val="22"/>
          <w:szCs w:val="22"/>
        </w:rPr>
        <w:t xml:space="preserve">[17] A. Gazman, Y. London et al., “Thermal Crosstalk Modelling and Compensation Methods for Programmable Photonic Integrated Circuits,” arXiv: 2404.10589, 2024.</w:t>
      </w:r>
    </w:p>
    <w:p>
      <w:pPr>
        <w:spacing w:after="200" w:line="276"/>
      </w:pPr>
      <w:r>
        <w:rPr>
          <w:rFonts w:ascii="Cambria" w:cs="Cambria" w:eastAsia="Cambria" w:hAnsi="Cambria"/>
          <w:sz w:val="22"/>
          <w:szCs w:val="22"/>
        </w:rPr>
        <w:t xml:space="preserve">[18] C. F. Gauss, “Disquisitiones generales circa superficies curvas” [General Investigations of Curved Surfaces], Commentationes Societatis Regiae Scientiarum Gottingensis Recentiores, vol. 6, pp. 99–146, 1827.</w:t>
      </w:r>
    </w:p>
    <w:p>
      <w:pPr>
        <w:spacing w:after="200" w:line="276"/>
      </w:pPr>
      <w:r>
        <w:rPr>
          <w:rFonts w:ascii="Cambria" w:cs="Cambria" w:eastAsia="Cambria" w:hAnsi="Cambria"/>
          <w:sz w:val="22"/>
          <w:szCs w:val="22"/>
        </w:rPr>
        <w:t xml:space="preserve">[19] L. Chrostowski et al., SiP-Variability: Silicon Photonics measurement data on manufacturing variability. GitHub: lukasc-ubc/SiP-variability. MIT License.</w:t>
      </w:r>
    </w:p>
    <w:p>
      <w:pPr>
        <w:spacing w:after="200" w:line="276"/>
      </w:pPr>
      <w:r>
        <w:rPr>
          <w:rFonts w:ascii="Cambria" w:cs="Cambria" w:eastAsia="Cambria" w:hAnsi="Cambria"/>
          <w:sz w:val="22"/>
          <w:szCs w:val="22"/>
        </w:rPr>
        <w:t xml:space="preserve">[20] S. Pai, T. Park et al., “Self-calibrating programmable photonic integrated circuits,” Nature Photonics, vol. 16, pp. 595–602,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1A3C5E"/>
      <w:sz w:val="32"/>
      <w:szCs w:val="32"/>
    </w:rPr>
  </w:style>
  <w:style w:type="paragraph" w:styleId="Heading2">
    <w:name w:val="Heading 2"/>
    <w:basedOn w:val="Normal"/>
    <w:next w:val="Normal"/>
    <w:qFormat/>
    <w:pPr>
      <w:spacing w:after="160" w:before="240"/>
      <w:outlineLvl w:val="1"/>
    </w:pPr>
    <w:rPr>
      <w:rFonts w:ascii="Cambria" w:cs="Cambria" w:eastAsia="Cambria" w:hAnsi="Cambria"/>
      <w:b/>
      <w:bCs/>
      <w:color w:val="2E4057"/>
      <w:sz w:val="26"/>
      <w:szCs w:val="26"/>
    </w:rPr>
  </w:style>
  <w:style w:type="paragraph" w:styleId="Heading3">
    <w:name w:val="Heading 3"/>
    <w:basedOn w:val="Normal"/>
    <w:next w:val="Normal"/>
    <w:qFormat/>
    <w:pPr>
      <w:spacing w:after="120" w:before="160"/>
      <w:outlineLvl w:val="2"/>
    </w:pPr>
    <w:rPr>
      <w:rFonts w:ascii="Cambria" w:cs="Cambria" w:eastAsia="Cambria" w:hAnsi="Cambria"/>
      <w:b/>
      <w:bCs/>
      <w:i/>
      <w:i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2026-04-04T03:55:33.372Z</dcterms:created>
  <dcterms:modified xsi:type="dcterms:W3CDTF">2026-04-04T03:55:33.374Z</dcterms:modified>
</cp:coreProperties>
</file>

<file path=docProps/custom.xml><?xml version="1.0" encoding="utf-8"?>
<Properties xmlns="http://schemas.openxmlformats.org/officeDocument/2006/custom-properties" xmlns:vt="http://schemas.openxmlformats.org/officeDocument/2006/docPropsVTypes"/>
</file>