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Бриф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SMM-продвижения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Roboto" w:cs="Roboto" w:eastAsia="Roboto" w:hAnsi="Roboto"/>
                <w:b w:val="1"/>
                <w:color w:val="ffffff"/>
                <w:shd w:fill="4a86e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1. КОМПАНИЯ И 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846715328467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Название компании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Школа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«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Суперэффект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Сфера бизнеса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Онлайн-образование, курсы по саморазвитию</w:t>
            </w:r>
          </w:p>
        </w:tc>
      </w:tr>
      <w:tr>
        <w:trPr>
          <w:cantSplit w:val="0"/>
          <w:trHeight w:val="438.1751824817519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Средний чек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5 000 руб. </w:t>
            </w:r>
          </w:p>
        </w:tc>
      </w:tr>
      <w:tr>
        <w:trPr>
          <w:cantSplit w:val="0"/>
          <w:trHeight w:val="423.065693430656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Сайт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—</w:t>
            </w:r>
          </w:p>
        </w:tc>
      </w:tr>
      <w:tr>
        <w:trPr>
          <w:cantSplit w:val="0"/>
          <w:trHeight w:val="407.9562043795621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Группы в соцсетях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Не продвигались в соцсетях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737226277372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География продаж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Вся Россия, не привязаны к конкретному городу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489051094890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Продукты/услуги для продвижения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Авторский курс школы личностного роста «Суперэффект».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Вебинар по постановке жизненных целей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.6501482664234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преимущества продукта/услуги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Много практических упражнений, основанных на опыте экспертов-психологов.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Постоянная поддержка кураторов.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Бессрочный доступ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6465"/>
        <w:tblGridChange w:id="0">
          <w:tblGrid>
            <w:gridCol w:w="3525"/>
            <w:gridCol w:w="64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2. ЦЕЛИ SMM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Ключевая цель SMM-продвижения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Чтобы люди знали название бренда, легко выделяли его среди других и участвовали в вебинарах, которые прогревают и формируют желание записаться на курсы 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Основные задачи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0"/>
                <w:szCs w:val="20"/>
                <w:rtl w:val="0"/>
              </w:rPr>
              <w:t xml:space="preserve">(шаги, которые необходимо сделать SMM-специалисту для достижения ключевой SMM-цели)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Показатели оценки достижения цели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Получить 5 000 подписчиков для создания сообщества вокруг проекта и 70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100 заявок на первый поток курса </w:t>
            </w:r>
          </w:p>
        </w:tc>
      </w:tr>
      <w:tr>
        <w:trPr>
          <w:cantSplit w:val="0"/>
          <w:trHeight w:val="1178.906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Предполагаемый бюджет в месяц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Ожидаем предложения</w:t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3. ОПЫТ ПРОДВИЖЕНИЯ (если был)</w:t>
            </w:r>
          </w:p>
        </w:tc>
      </w:tr>
      <w:tr>
        <w:trPr>
          <w:cantSplit w:val="0"/>
          <w:trHeight w:val="641.95312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Когда начали работать в соцсетях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Бренд не присутствовал в соцсетях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Какие ставили цели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Бренд не присутствовал в соцсетях</w:t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Кто занимался ведением соцсетей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Бренд не присутствовал в соцсетях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Какие результаты достигнуты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Бренд не присутствовал в соцсетях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Довольны ли результатом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Бренд не присутствовал в соцсетях</w:t>
            </w:r>
          </w:p>
        </w:tc>
      </w:tr>
    </w:tbl>
    <w:p w:rsidR="00000000" w:rsidDel="00000000" w:rsidP="00000000" w:rsidRDefault="00000000" w:rsidRPr="00000000" w14:paraId="00000037">
      <w:pPr>
        <w:spacing w:after="0" w:before="0"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4. ЦЕЛЕВАЯ АУДИТОРИЯ</w:t>
            </w:r>
          </w:p>
        </w:tc>
      </w:tr>
      <w:tr>
        <w:trPr>
          <w:cantSplit w:val="0"/>
          <w:trHeight w:val="769.99999999999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Соотношение полов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М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30%;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Ж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—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.30078124999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Roboto" w:cs="Roboto" w:eastAsia="Roboto" w:hAnsi="Roboto"/>
                <w:b w:val="1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Основной возраст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В целом подойдёт широкой аудитории. Но можно поделить ядро на группы: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5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25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30 лет;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5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31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35 лет;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5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36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40 лет;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41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45 лет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4726562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Для чего аудитории нужен ваш продукт (или услуга)</w:t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Хотят изменить свою жизнь: </w:t>
              <w:br w:type="textWrapping"/>
              <w:t xml:space="preserve">продукт нужен, чтобы сформировать понимание, как именно менять жизнь, что делать.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Хотят знать о себе больше: </w:t>
              <w:br w:type="textWrapping"/>
              <w:t xml:space="preserve">продукт нужен, чтобы понять причины неудач.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Хотят быть уверенными в себе и своих силах:</w:t>
              <w:br w:type="textWrapping"/>
              <w:t xml:space="preserve">продукт нужен, чтобы избавиться от тревоги и чувства подавленности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72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Какие у аудитории интересы, доход и сфера деятельности </w:t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ЦА 1: связанные с дизайном и создающие креативные продукты люди, которые сомневаются в своих возможностях и перспективе развития карьеры. Интересы: повышение в должности, призвание, карьерное развитие, профессиональные дизайнерские и креативные сообщества. Преимущественно женщины 25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35 лет из Санкт-Петербурга.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ЦА 2: офисные сотрудники, которые хотят открыть своё дело, но не могут правильно расставить приоритеты. Интересы: бизнес, предпринимательство, открытие бизнеса. Преимущественно женатые мужчины 35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45 лет из Омска, Томска, Барнаула, Новосибирска.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ЦА 3: не связанные со сферой психологии люди, изучают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«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для себя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»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. Интересы: практическая психология, саморазвитие, эмпатия, интеллект, личностный рост, сообщества по личностному росту. Преимущественно незамужние женщины 18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hd w:fill="f7f8fa" w:val="clear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25 лет из Москвы.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Каждая аудитория имеет средний или высокий доход 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.882812499999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Что должны сделать покупатели, чтобы приобрести ваш продукт (или услугу)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1. Зайти на сайт и заполнить заявку. </w:t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2. Перейти на страницу оплаты и ввести данные платёжного средства. Подтвердить платёж. 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3. Получить доступ на электронный адрес </w:t>
            </w:r>
          </w:p>
        </w:tc>
      </w:tr>
    </w:tbl>
    <w:p w:rsidR="00000000" w:rsidDel="00000000" w:rsidP="00000000" w:rsidRDefault="00000000" w:rsidRPr="00000000" w14:paraId="00000059">
      <w:pPr>
        <w:spacing w:after="0" w:before="0"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6487"/>
        <w:tblGridChange w:id="0">
          <w:tblGrid>
            <w:gridCol w:w="3510"/>
            <w:gridCol w:w="648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shd w:fill="0000ff" w:val="clea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5. КОНКУРЕНТЫ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Основные конкуренты</w:t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EDPRO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«</w:t>
              </w:r>
            </w:hyperlink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Викиум</w:t>
              </w:r>
            </w:hyperlink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»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.88281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Главные отличия от конкурентов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У заказчика: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Несколько приглашённых экспертов по смежным темам.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Есть тариф с индивидуальным сопровождением.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Больше способов оплаты продукта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Что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b050"/>
                <w:rtl w:val="0"/>
              </w:rPr>
              <w:t xml:space="preserve">нравится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в их соцсетях</w:t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Простое донесение информации: используют примеры, понятные материалы.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Легко беседуют с пользователями.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Привлекают к продвижению бывших учеников-блогеров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Что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не нравится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в их соцсетях</w:t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Некачественный контент, непривлекательный визуал.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Агрессивная реклама.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Несистемно ведут соцсети, часто пропадают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240" w:lineRule="auto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 КОНТАКТНОЕ ЛИЦО И КОМАНДА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Кто главное контактное лицо: директор по маркетингу, но при согласовании важно учитывать мнение и комментарии основателя школы.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Чьи комментарии важно учитывать при согласовании: мнение и комментарии основателя школы.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Каналы коммуникации: имейл, Telegram (указать).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какое время можно писать по рабочим вопросам: в рабочие дни с 10:00 до 19:00.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Кто в данный момент отвечает за работу в ваших соцсетях: директор по маркетингу.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Есть ли главный слоган, лозунг: нет.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Гайдлайны, брендбук: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есть логотип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aJiEN9hQs9U__uZMj-IcWoV14C_x7-XS/view?usp=sharing" TargetMode="External"/><Relationship Id="rId10" Type="http://schemas.openxmlformats.org/officeDocument/2006/relationships/hyperlink" Target="https://wikium.ru/courses/info" TargetMode="External"/><Relationship Id="rId9" Type="http://schemas.openxmlformats.org/officeDocument/2006/relationships/hyperlink" Target="https://wikium.ru/courses/inf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prodpo.com/" TargetMode="External"/><Relationship Id="rId8" Type="http://schemas.openxmlformats.org/officeDocument/2006/relationships/hyperlink" Target="https://wikium.ru/courses/inf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rgMwUV1EJ1aDRYgAS+GiQuheQ==">CgMxLjA4AHIhMVFtNXZCdElPb2J4N1BKQTJVUmFwTlM2amx2N1lBcUR0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