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5ymg3cz3ozc" w:id="0"/>
      <w:bookmarkEnd w:id="0"/>
      <w:r w:rsidDel="00000000" w:rsidR="00000000" w:rsidRPr="00000000">
        <w:rPr>
          <w:rtl w:val="0"/>
        </w:rPr>
        <w:t xml:space="preserve">Условное форматирование с применением формул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Во многих случаях стандартных правил условного форматирования не хватает: их можно применять только к тем ячейкам, которые форматируются, но нельзя форматировать одни ячейки в зависимости от значений других (например, форматировать всю строку в таблице, исходя из значений в одном столбце).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Кроме того, многие условия невозможно реализовать в рамках стандартного набора условного форматирования (выделить ячейки, если число в одном столбце больше числа в другом; выделить значения, которые есть в одном списке и отсутствуют в другом и так далее).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В таких случаях необходимо использовать формулы в правилах условного форматирования. В формулах можно ссылаться на другие ячейки, что обеспечивает возможность разделения тех ячеек, которые вы форматируете, и тех, от значений которых зависит форматирование.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Представьте, что вы вводите логическую формулу (которая может возвращать только ИСТИНА или ЛОЖЬ) в ячейках, к которым вы применяете форматирование. Если формула в ячейке будет возвращать ИСТИНА, то ячейка будет форматироваться. Иначе (формула возвращает значение ЛОЖЬ) — нет.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Чтобы ввести формулу, в правилах условного форматирования нужно выбрать «Другие правила»: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А далее — тип правила «Использовать формулу»: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7498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Формула, которую вы будете вводить, должна быть логической, то есть возвращать ИСТИНА или ЛОЖЬ. Значит, в ней можно использовать сравнения и логические функции. Например, сравнить значения в двух столбцах: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=C2&gt;B2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Такая формула будет возвращать ИСТИНА, когда значение в столбце C больше, чем в столбце B, и ячейки, к которым применяется такое правило, будут форматироваться по заданному образцу в соответствующих условиях.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Обратите внимание, что формула задана только для второй строки. Формула в правилах вводится для первой ячейки выделенного диапазона (к которому применяется форматирование). Соответственно, если у вас выделенный диапазон начинается, например, с третьей строки, то правило бы выглядело так: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=C3&gt;B3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Каждый раз, когда создаёте правило, представляйте, что ваша формула будет «протянута» по всем ячейкам диапазона для форматирования — и те, где она будет выдавать ИСТИНА, будут выделены цветом или как-то иначе (в зависимости от того, какой формат вы зададите). Поэтому, если вы выделяете целую таблицу, а не один столбец, то нужно будет закрепить в формуле ссылки на столбцы (сделать ссылки смешанными с закреплением столбцов).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180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Что будет, если мы применим правило ко всей таблице, но не закрепим ссылки?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81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Хотя правило применено ко всей таблице (A2:C13), цветом выделяются только названия месяцев. Потому что для ячеек в столбцах B и C ссылки в формуле условного форматирования съезжают (для столбца B формула выглядит уже как =D2&gt;C2) и она работает некорректно — сравниваются не те столбцы, что должны.</w:t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uc8n8zn4c4vw" w:id="1"/>
      <w:bookmarkEnd w:id="1"/>
      <w:r w:rsidDel="00000000" w:rsidR="00000000" w:rsidRPr="00000000">
        <w:rPr>
          <w:rtl w:val="0"/>
        </w:rPr>
        <w:t xml:space="preserve">Приоритет правил условного форматирования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В одном диапазоне может применяться сразу несколько правил условного форматирования, и они могут конфликтовать друг с другом. Например, в этой таблице есть два правила: вся строка выделяется оранжевым, если возраст сотрудника меньше либо равен 35, и в столбце с отделом зелёным выделяются ячейки, если текст в них содержит «Маркетинг»: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Если выполняется и то, и другое условие, то правила будут применяться в определённом порядке. Порядок существующих правил можно увидеть и изменить в «Управлении правилами» в «Условном форматировании».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796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Если правило с выделением «Маркетинга» выше, то форматирование будет применяться как на скриншоте выше — даже если вся строка заливается оранжевым, ячейка с «Маркетингом» будет заливаться как бы «поверх» в любом случае.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Порядок правил можно изменить, двигая их стрелками:</w:t>
      </w:r>
      <w:r w:rsidDel="00000000" w:rsidR="00000000" w:rsidRPr="00000000">
        <w:rPr/>
        <w:drawing>
          <wp:inline distB="114300" distT="114300" distL="114300" distR="114300">
            <wp:extent cx="5731200" cy="16891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Теперь приоритет у заливки всей строки для молодых сотрудников, и ячейка с «Маркетингом» будет выделяться, только если не применяется первое правило: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464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3" Type="http://schemas.openxmlformats.org/officeDocument/2006/relationships/image" Target="media/image1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3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