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Гайд по контролю за передачей данных о поставке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того как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поставка была совершена</w:t>
        </w:r>
      </w:hyperlink>
      <w:r w:rsidDel="00000000" w:rsidR="00000000" w:rsidRPr="00000000">
        <w:rPr>
          <w:rtl w:val="0"/>
        </w:rPr>
        <w:t xml:space="preserve">, необходимо проконтролировать корректность и своевременность переноса данных о ней в личный кабинет. </w:t>
      </w:r>
    </w:p>
    <w:p w:rsidR="00000000" w:rsidDel="00000000" w:rsidP="00000000" w:rsidRDefault="00000000" w:rsidRPr="00000000" w14:paraId="00000004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Товар из поставки будет выгружаться на витрину Wildberries постепенно, по мере поступления на ячейки хранения. </w:t>
      </w:r>
    </w:p>
    <w:p w:rsidR="00000000" w:rsidDel="00000000" w:rsidP="00000000" w:rsidRDefault="00000000" w:rsidRPr="00000000" w14:paraId="00000005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Регламент Wildberries — приёмка в течение десяти рабочих дней. Отметим, что именно рабочих, то есть суммарно выходит две недели. В этот промежуток времени не паникуйте: как правило, большинство поставок принимается в указанные сроки. </w:t>
      </w:r>
    </w:p>
    <w:p w:rsidR="00000000" w:rsidDel="00000000" w:rsidP="00000000" w:rsidRDefault="00000000" w:rsidRPr="00000000" w14:paraId="0000000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того как поставку приняли, у неё меняется статус на «Принято» в списке всех поставок:</w:t>
      </w:r>
    </w:p>
    <w:p w:rsidR="00000000" w:rsidDel="00000000" w:rsidP="00000000" w:rsidRDefault="00000000" w:rsidRPr="00000000" w14:paraId="00000007">
      <w:pPr>
        <w:spacing w:after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3588" cy="32712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271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В этом меню можно выгрузить список принятого товара и провести сверку с фактически отгруженным товаром</w:t>
      </w:r>
      <w:r w:rsidDel="00000000" w:rsidR="00000000" w:rsidRPr="00000000">
        <w:rPr>
          <w:highlight w:val="white"/>
          <w:rtl w:val="0"/>
        </w:rPr>
        <w:t xml:space="preserve">, нажав на фиолетовую кнопку «Принятый товар».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Как правило, «утерянный» товар ещё в течение недели </w:t>
      </w:r>
      <w:r w:rsidDel="00000000" w:rsidR="00000000" w:rsidRPr="00000000">
        <w:rPr>
          <w:rtl w:val="0"/>
        </w:rPr>
        <w:t xml:space="preserve">допринимается</w:t>
      </w:r>
      <w:r w:rsidDel="00000000" w:rsidR="00000000" w:rsidRPr="00000000">
        <w:rPr>
          <w:rtl w:val="0"/>
        </w:rPr>
        <w:t xml:space="preserve"> складом в так называемые виртуальные поставки. Поэтому сверку необходимо проверять не только той поставки, которую вы отгрузили, но и захватывать все возникшие в этот период времени виртуальные поставки.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 случае если даже вместе с виртуальными поставками вы видите, что товара </w:t>
      </w:r>
      <w:r w:rsidDel="00000000" w:rsidR="00000000" w:rsidRPr="00000000">
        <w:rPr>
          <w:rtl w:val="0"/>
        </w:rPr>
        <w:t xml:space="preserve">недостаёт</w:t>
      </w:r>
      <w:r w:rsidDel="00000000" w:rsidR="00000000" w:rsidRPr="00000000">
        <w:rPr>
          <w:rtl w:val="0"/>
        </w:rPr>
        <w:t xml:space="preserve">, вы оформляете сухую, безэмоциональную претензию с разбором по фактам недостачи</w:t>
      </w:r>
      <w:r w:rsidDel="00000000" w:rsidR="00000000" w:rsidRPr="00000000">
        <w:rPr>
          <w:highlight w:val="white"/>
          <w:rtl w:val="0"/>
        </w:rPr>
        <w:t xml:space="preserve">, прикладываете Excel-файл с расхождениями</w:t>
      </w:r>
      <w:r w:rsidDel="00000000" w:rsidR="00000000" w:rsidRPr="00000000">
        <w:rPr>
          <w:rtl w:val="0"/>
        </w:rPr>
        <w:t xml:space="preserve"> и отправляете её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Telegram-чат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а также дублируете заявку в раздел «Поддержка» в личном кабинете и ждёте окончания расследования, которое может длиться до месяца:</w:t>
      </w:r>
    </w:p>
    <w:p w:rsidR="00000000" w:rsidDel="00000000" w:rsidP="00000000" w:rsidRDefault="00000000" w:rsidRPr="00000000" w14:paraId="0000000D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5456" cy="3948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456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На этом процесс поставки на склад Wildberries завершён.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Теперь вас можно назвать профессионалом по оформлению и отгрузке поставок на Wildberries модели FBW. Уверены, что советы из материалов существенно упростят вашу первую поставку!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ZSCo9r3ypXvub-TMFdtaqn-gSZYyfRmA6gqZVEPQog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.me/wbofficial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