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rPr>
        <w:t>Revelator System Summary</w:t>
      </w:r>
    </w:p>
    <w:p>
      <w:pPr>
        <w:pStyle w:val="Heading1"/>
      </w:pPr>
      <w:r>
        <w:rPr>
          <w:rFonts w:ascii="Aptos" w:hAnsi="Aptos"/>
        </w:rPr>
        <w:t>Research Capstone Documentation</w:t>
      </w:r>
    </w:p>
    <w:p>
      <w:r>
        <w:rPr>
          <w:rFonts w:ascii="Aptos" w:hAnsi="Aptos"/>
        </w:rPr>
        <w:t>Revelator is a web and mobile-capable application for screening document images for signs of forgery. A React client communicates with a FastAPI backend. The backend checks that an upload resembles a document, prepares the image, requests a structured classification from Google Gemini Vision, derives a verdict, and stores the scan in a SQLite database.</w:t>
      </w:r>
    </w:p>
    <w:p>
      <w:r>
        <w:rPr>
          <w:rFonts w:ascii="Aptos" w:hAnsi="Aptos"/>
        </w:rPr>
        <w:t>Revelator is a screening aid, not a substitute for a qualified forensic examiner. Results depend on image quality, available evidence, model behavior, and the user-provided image. A “no forgery detected” result is not proof of authenticity.</w:t>
      </w:r>
    </w:p>
    <w:p>
      <w:pPr>
        <w:pStyle w:val="Heading2"/>
      </w:pPr>
      <w:r>
        <w:rPr>
          <w:rFonts w:ascii="Aptos" w:hAnsi="Aptos"/>
        </w:rPr>
        <w:t>System at a Glance</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3427"/>
            <w:vAlign w:val="center"/>
            <w:shd w:fill="E6F0E9"/>
          </w:tcPr>
          <w:p>
            <w:pPr>
              <w:spacing w:after="20" w:before="20" w:line="240" w:lineRule="auto"/>
            </w:pPr>
            <w:r>
              <w:rPr>
                <w:rFonts w:ascii="Aptos" w:hAnsi="Aptos"/>
                <w:b/>
                <w:color w:val="174F33"/>
                <w:sz w:val="15"/>
              </w:rPr>
              <w:t>Layer</w:t>
            </w:r>
          </w:p>
        </w:tc>
        <w:tc>
          <w:tcPr>
            <w:tcW w:type="dxa" w:w="3427"/>
            <w:vAlign w:val="center"/>
            <w:shd w:fill="E6F0E9"/>
          </w:tcPr>
          <w:p>
            <w:pPr>
              <w:spacing w:after="20" w:before="20" w:line="240" w:lineRule="auto"/>
            </w:pPr>
            <w:r>
              <w:rPr>
                <w:rFonts w:ascii="Aptos" w:hAnsi="Aptos"/>
                <w:b/>
                <w:color w:val="174F33"/>
                <w:sz w:val="15"/>
              </w:rPr>
              <w:t>Technology</w:t>
            </w:r>
          </w:p>
        </w:tc>
        <w:tc>
          <w:tcPr>
            <w:tcW w:type="dxa" w:w="3427"/>
            <w:vAlign w:val="center"/>
            <w:shd w:fill="E6F0E9"/>
          </w:tcPr>
          <w:p>
            <w:pPr>
              <w:spacing w:after="20" w:before="20" w:line="240" w:lineRule="auto"/>
            </w:pPr>
            <w:r>
              <w:rPr>
                <w:rFonts w:ascii="Aptos" w:hAnsi="Aptos"/>
                <w:b/>
                <w:color w:val="174F33"/>
                <w:sz w:val="15"/>
              </w:rPr>
              <w:t>Main responsibility</w:t>
            </w:r>
          </w:p>
        </w:tc>
      </w:tr>
      <w:tr>
        <w:tc>
          <w:tcPr>
            <w:tcW w:type="dxa" w:w="3427"/>
            <w:vAlign w:val="center"/>
            <w:shd w:fill="F5F7F5"/>
          </w:tcPr>
          <w:p>
            <w:pPr>
              <w:spacing w:after="20" w:before="20" w:line="240" w:lineRule="auto"/>
            </w:pPr>
            <w:r>
              <w:rPr>
                <w:rFonts w:ascii="Aptos" w:hAnsi="Aptos"/>
                <w:sz w:val="15"/>
              </w:rPr>
              <w:t>Client</w:t>
            </w:r>
          </w:p>
        </w:tc>
        <w:tc>
          <w:tcPr>
            <w:tcW w:type="dxa" w:w="3427"/>
            <w:vAlign w:val="center"/>
            <w:shd w:fill="F5F7F5"/>
          </w:tcPr>
          <w:p>
            <w:pPr>
              <w:spacing w:after="20" w:before="20" w:line="240" w:lineRule="auto"/>
            </w:pPr>
            <w:r>
              <w:rPr>
                <w:rFonts w:ascii="Aptos" w:hAnsi="Aptos"/>
                <w:sz w:val="15"/>
              </w:rPr>
              <w:t>React, Vite, Capacitor support</w:t>
            </w:r>
          </w:p>
        </w:tc>
        <w:tc>
          <w:tcPr>
            <w:tcW w:type="dxa" w:w="3427"/>
            <w:vAlign w:val="center"/>
            <w:shd w:fill="F5F7F5"/>
          </w:tcPr>
          <w:p>
            <w:pPr>
              <w:spacing w:after="20" w:before="20" w:line="240" w:lineRule="auto"/>
            </w:pPr>
            <w:r>
              <w:rPr>
                <w:rFonts w:ascii="Aptos" w:hAnsi="Aptos"/>
                <w:sz w:val="15"/>
              </w:rPr>
              <w:t>Sign-in, image submission, scan results, and history</w:t>
            </w:r>
          </w:p>
        </w:tc>
      </w:tr>
      <w:tr>
        <w:tc>
          <w:tcPr>
            <w:tcW w:type="dxa" w:w="3427"/>
            <w:vAlign w:val="center"/>
            <w:shd w:fill="FFFFFF"/>
          </w:tcPr>
          <w:p>
            <w:pPr>
              <w:spacing w:after="20" w:before="20" w:line="240" w:lineRule="auto"/>
            </w:pPr>
            <w:r>
              <w:rPr>
                <w:rFonts w:ascii="Aptos" w:hAnsi="Aptos"/>
                <w:sz w:val="15"/>
              </w:rPr>
              <w:t>API</w:t>
            </w:r>
          </w:p>
        </w:tc>
        <w:tc>
          <w:tcPr>
            <w:tcW w:type="dxa" w:w="3427"/>
            <w:vAlign w:val="center"/>
            <w:shd w:fill="FFFFFF"/>
          </w:tcPr>
          <w:p>
            <w:pPr>
              <w:spacing w:after="20" w:before="20" w:line="240" w:lineRule="auto"/>
            </w:pPr>
            <w:r>
              <w:rPr>
                <w:rFonts w:ascii="Aptos" w:hAnsi="Aptos"/>
                <w:sz w:val="15"/>
              </w:rPr>
              <w:t>FastAPI, Pydantic</w:t>
            </w:r>
          </w:p>
        </w:tc>
        <w:tc>
          <w:tcPr>
            <w:tcW w:type="dxa" w:w="3427"/>
            <w:vAlign w:val="center"/>
            <w:shd w:fill="FFFFFF"/>
          </w:tcPr>
          <w:p>
            <w:pPr>
              <w:spacing w:after="20" w:before="20" w:line="240" w:lineRule="auto"/>
            </w:pPr>
            <w:r>
              <w:rPr>
                <w:rFonts w:ascii="Aptos" w:hAnsi="Aptos"/>
                <w:sz w:val="15"/>
              </w:rPr>
              <w:t>Authentication, request validation, analysis, and application endpoints</w:t>
            </w:r>
          </w:p>
        </w:tc>
      </w:tr>
      <w:tr>
        <w:tc>
          <w:tcPr>
            <w:tcW w:type="dxa" w:w="3427"/>
            <w:vAlign w:val="center"/>
            <w:shd w:fill="F5F7F5"/>
          </w:tcPr>
          <w:p>
            <w:pPr>
              <w:spacing w:after="20" w:before="20" w:line="240" w:lineRule="auto"/>
            </w:pPr>
            <w:r>
              <w:rPr>
                <w:rFonts w:ascii="Aptos" w:hAnsi="Aptos"/>
                <w:sz w:val="15"/>
              </w:rPr>
              <w:t>Analysis</w:t>
            </w:r>
          </w:p>
        </w:tc>
        <w:tc>
          <w:tcPr>
            <w:tcW w:type="dxa" w:w="3427"/>
            <w:vAlign w:val="center"/>
            <w:shd w:fill="F5F7F5"/>
          </w:tcPr>
          <w:p>
            <w:pPr>
              <w:spacing w:after="20" w:before="20" w:line="240" w:lineRule="auto"/>
            </w:pPr>
            <w:r>
              <w:rPr>
                <w:rFonts w:ascii="Aptos" w:hAnsi="Aptos"/>
                <w:sz w:val="15"/>
              </w:rPr>
              <w:t>Gemini Vision, optional local classifier, document gate</w:t>
            </w:r>
          </w:p>
        </w:tc>
        <w:tc>
          <w:tcPr>
            <w:tcW w:type="dxa" w:w="3427"/>
            <w:vAlign w:val="center"/>
            <w:shd w:fill="F5F7F5"/>
          </w:tcPr>
          <w:p>
            <w:pPr>
              <w:spacing w:after="20" w:before="20" w:line="240" w:lineRule="auto"/>
            </w:pPr>
            <w:r>
              <w:rPr>
                <w:rFonts w:ascii="Aptos" w:hAnsi="Aptos"/>
                <w:sz w:val="15"/>
              </w:rPr>
              <w:t>Image screening and structured forgery-method classification</w:t>
            </w:r>
          </w:p>
        </w:tc>
      </w:tr>
      <w:tr>
        <w:tc>
          <w:tcPr>
            <w:tcW w:type="dxa" w:w="3427"/>
            <w:vAlign w:val="center"/>
            <w:shd w:fill="FFFFFF"/>
          </w:tcPr>
          <w:p>
            <w:pPr>
              <w:spacing w:after="20" w:before="20" w:line="240" w:lineRule="auto"/>
            </w:pPr>
            <w:r>
              <w:rPr>
                <w:rFonts w:ascii="Aptos" w:hAnsi="Aptos"/>
                <w:sz w:val="15"/>
              </w:rPr>
              <w:t>Persistence</w:t>
            </w:r>
          </w:p>
        </w:tc>
        <w:tc>
          <w:tcPr>
            <w:tcW w:type="dxa" w:w="3427"/>
            <w:vAlign w:val="center"/>
            <w:shd w:fill="FFFFFF"/>
          </w:tcPr>
          <w:p>
            <w:pPr>
              <w:spacing w:after="20" w:before="20" w:line="240" w:lineRule="auto"/>
            </w:pPr>
            <w:r>
              <w:rPr>
                <w:rFonts w:ascii="Aptos" w:hAnsi="Aptos"/>
                <w:sz w:val="15"/>
              </w:rPr>
              <w:t>SQLAlchemy, SQLite by default</w:t>
            </w:r>
          </w:p>
        </w:tc>
        <w:tc>
          <w:tcPr>
            <w:tcW w:type="dxa" w:w="3427"/>
            <w:vAlign w:val="center"/>
            <w:shd w:fill="FFFFFF"/>
          </w:tcPr>
          <w:p>
            <w:pPr>
              <w:spacing w:after="20" w:before="20" w:line="240" w:lineRule="auto"/>
            </w:pPr>
            <w:r>
              <w:rPr>
                <w:rFonts w:ascii="Aptos" w:hAnsi="Aptos"/>
                <w:sz w:val="15"/>
              </w:rPr>
              <w:t>User accounts, API-key records, scan metadata, and history</w:t>
            </w:r>
          </w:p>
        </w:tc>
      </w:tr>
      <w:tr>
        <w:tc>
          <w:tcPr>
            <w:tcW w:type="dxa" w:w="3427"/>
            <w:vAlign w:val="center"/>
            <w:shd w:fill="F5F7F5"/>
          </w:tcPr>
          <w:p>
            <w:pPr>
              <w:spacing w:after="20" w:before="20" w:line="240" w:lineRule="auto"/>
            </w:pPr>
            <w:r>
              <w:rPr>
                <w:rFonts w:ascii="Aptos" w:hAnsi="Aptos"/>
                <w:sz w:val="15"/>
              </w:rPr>
              <w:t>Evaluation</w:t>
            </w:r>
          </w:p>
        </w:tc>
        <w:tc>
          <w:tcPr>
            <w:tcW w:type="dxa" w:w="3427"/>
            <w:vAlign w:val="center"/>
            <w:shd w:fill="F5F7F5"/>
          </w:tcPr>
          <w:p>
            <w:pPr>
              <w:spacing w:after="20" w:before="20" w:line="240" w:lineRule="auto"/>
            </w:pPr>
            <w:r>
              <w:rPr>
                <w:rFonts w:ascii="Aptos" w:hAnsi="Aptos"/>
                <w:sz w:val="15"/>
              </w:rPr>
              <w:t>Specimen evaluation script</w:t>
            </w:r>
          </w:p>
        </w:tc>
        <w:tc>
          <w:tcPr>
            <w:tcW w:type="dxa" w:w="3427"/>
            <w:vAlign w:val="center"/>
            <w:shd w:fill="F5F7F5"/>
          </w:tcPr>
          <w:p>
            <w:pPr>
              <w:spacing w:after="20" w:before="20" w:line="240" w:lineRule="auto"/>
            </w:pPr>
            <w:r>
              <w:rPr>
                <w:rFonts w:ascii="Aptos" w:hAnsi="Aptos"/>
                <w:sz w:val="15"/>
              </w:rPr>
              <w:t>Compare predictions with labeled Forged/Genuine examples</w:t>
            </w:r>
          </w:p>
        </w:tc>
      </w:tr>
    </w:tbl>
    <w:p>
      <w:pPr>
        <w:spacing w:after="0"/>
      </w:pPr>
    </w:p>
    <w:p>
      <w:pPr>
        <w:pStyle w:val="Heading2"/>
      </w:pPr>
      <w:r>
        <w:rPr>
          <w:rFonts w:ascii="Aptos" w:hAnsi="Aptos"/>
        </w:rPr>
        <w:t>Main Request Flow</w:t>
      </w:r>
    </w:p>
    <w:p>
      <w:pPr>
        <w:pStyle w:val="ListNumber"/>
        <w:spacing w:after="40"/>
      </w:pPr>
      <w:r>
        <w:rPr>
          <w:rFonts w:ascii="Aptos" w:hAnsi="Aptos"/>
        </w:rPr>
        <w:t xml:space="preserve">An authenticated user chooses an image and submits it from the React client to </w:t>
      </w:r>
      <w:r>
        <w:rPr>
          <w:rFonts w:ascii="Consolas" w:hAnsi="Consolas"/>
          <w:color w:val="17663E"/>
          <w:sz w:val="16"/>
        </w:rPr>
        <w:t>POST /api/analyze</w:t>
      </w:r>
      <w:r>
        <w:rPr>
          <w:rFonts w:ascii="Aptos" w:hAnsi="Aptos"/>
        </w:rPr>
        <w:t>.</w:t>
      </w:r>
    </w:p>
    <w:p>
      <w:pPr>
        <w:pStyle w:val="ListNumber"/>
        <w:spacing w:after="40"/>
      </w:pPr>
      <w:r>
        <w:rPr>
          <w:rFonts w:ascii="Aptos" w:hAnsi="Aptos"/>
        </w:rPr>
        <w:t>The API opens the image, converts it to RGB, and checks whether it appears to be a document. A non-document receives an early response and is not saved as a scan.</w:t>
      </w:r>
    </w:p>
    <w:p>
      <w:pPr>
        <w:pStyle w:val="ListNumber"/>
        <w:spacing w:after="40"/>
      </w:pPr>
      <w:r>
        <w:rPr>
          <w:rFonts w:ascii="Aptos" w:hAnsi="Aptos"/>
        </w:rPr>
        <w:t>The image is resized to a maximum dimension of 1280 pixels.</w:t>
      </w:r>
    </w:p>
    <w:p>
      <w:pPr>
        <w:pStyle w:val="ListNumber"/>
        <w:spacing w:after="40"/>
      </w:pPr>
      <w:r>
        <w:rPr>
          <w:rFonts w:ascii="Aptos" w:hAnsi="Aptos"/>
        </w:rPr>
        <w:t>If enabled and available, the local classifier can provide a category hint. Gemini performs the classification. A low-confidence result may receive a second critique call.</w:t>
      </w:r>
    </w:p>
    <w:p>
      <w:pPr>
        <w:pStyle w:val="ListNumber"/>
        <w:spacing w:after="40"/>
      </w:pPr>
      <w:r>
        <w:rPr>
          <w:rFonts w:ascii="Aptos" w:hAnsi="Aptos"/>
        </w:rPr>
        <w:t>The backend maps the category and confidence to a verdict, saves scan details and the uploaded image, and returns the result to the client.</w:t>
      </w:r>
    </w:p>
    <w:p>
      <w:pPr>
        <w:spacing w:after="0" w:line="240" w:lineRule="auto"/>
        <w:ind w:left="173" w:right="115"/>
        <w:shd w:fill="F1F4F1"/>
      </w:pPr>
      <w:r>
        <w:rPr>
          <w:rFonts w:ascii="Consolas" w:hAnsi="Consolas"/>
          <w:color w:val="282F2B"/>
          <w:sz w:val="14"/>
        </w:rPr>
        <w:t>React client -&gt; FastAPI analysis route -&gt; document gate -&gt; image preprocessing</w:t>
      </w:r>
    </w:p>
    <w:p>
      <w:pPr>
        <w:spacing w:after="0" w:line="240" w:lineRule="auto"/>
        <w:ind w:left="173" w:right="115"/>
        <w:shd w:fill="F1F4F1"/>
      </w:pPr>
      <w:r>
        <w:rPr>
          <w:rFonts w:ascii="Consolas" w:hAnsi="Consolas"/>
          <w:color w:val="282F2B"/>
          <w:sz w:val="14"/>
        </w:rPr>
        <w:t xml:space="preserve">            -&gt; optional local hint -&gt; Gemini Vision -&gt; confidence review</w:t>
      </w:r>
    </w:p>
    <w:p>
      <w:pPr>
        <w:spacing w:after="0" w:line="240" w:lineRule="auto"/>
        <w:ind w:left="173" w:right="115"/>
        <w:shd w:fill="F1F4F1"/>
      </w:pPr>
      <w:r>
        <w:rPr>
          <w:rFonts w:ascii="Consolas" w:hAnsi="Consolas"/>
          <w:color w:val="282F2B"/>
          <w:sz w:val="14"/>
        </w:rPr>
        <w:t xml:space="preserve">            -&gt; verdict mapping -&gt; SQLAlchemy / SQLite -&gt; scan result</w:t>
      </w:r>
    </w:p>
    <w:p>
      <w:r>
        <w:rPr>
          <w:rFonts w:ascii="Aptos" w:hAnsi="Aptos"/>
        </w:rPr>
        <w:t xml:space="preserve">The primary code path is implemented in </w:t>
      </w:r>
      <w:r>
        <w:rPr>
          <w:rFonts w:ascii="Consolas" w:hAnsi="Consolas"/>
          <w:color w:val="17663E"/>
          <w:sz w:val="16"/>
        </w:rPr>
        <w:t>frontend/src/api/client.js</w:t>
      </w:r>
      <w:r>
        <w:rPr>
          <w:rFonts w:ascii="Aptos" w:hAnsi="Aptos"/>
        </w:rPr>
        <w:t xml:space="preserve">, </w:t>
      </w:r>
      <w:r>
        <w:rPr>
          <w:rFonts w:ascii="Consolas" w:hAnsi="Consolas"/>
          <w:color w:val="17663E"/>
          <w:sz w:val="16"/>
        </w:rPr>
        <w:t>backend/app/routes/analyze.py</w:t>
      </w:r>
      <w:r>
        <w:rPr>
          <w:rFonts w:ascii="Aptos" w:hAnsi="Aptos"/>
        </w:rPr>
        <w:t xml:space="preserve">, and </w:t>
      </w:r>
      <w:r>
        <w:rPr>
          <w:rFonts w:ascii="Consolas" w:hAnsi="Consolas"/>
          <w:color w:val="17663E"/>
          <w:sz w:val="16"/>
        </w:rPr>
        <w:t>backend/app/forgery/</w:t>
      </w:r>
      <w:r>
        <w:rPr>
          <w:rFonts w:ascii="Aptos" w:hAnsi="Aptos"/>
        </w:rPr>
        <w:t>.</w:t>
      </w:r>
    </w:p>
    <w:p>
      <w:r>
        <w:br w:type="page"/>
      </w:r>
    </w:p>
    <w:p>
      <w:pPr>
        <w:pStyle w:val="Heading1"/>
      </w:pPr>
      <w:r>
        <w:rPr>
          <w:rFonts w:ascii="Aptos" w:hAnsi="Aptos"/>
        </w:rPr>
        <w:t>Classification and Results</w:t>
      </w:r>
    </w:p>
    <w:p>
      <w:pPr>
        <w:pStyle w:val="Heading2"/>
      </w:pPr>
      <w:r>
        <w:rPr>
          <w:rFonts w:ascii="Aptos" w:hAnsi="Aptos"/>
        </w:rPr>
        <w:t>Classification Categories</w:t>
      </w:r>
    </w:p>
    <w:p>
      <w:r>
        <w:rPr>
          <w:rFonts w:ascii="Aptos" w:hAnsi="Aptos"/>
        </w:rPr>
        <w:t xml:space="preserve">The classifier returns one category code, a confidence value, and explanatory fields such as evidence, reasoning, alternatives, and anomaly location. The taxonomy in </w:t>
      </w:r>
      <w:r>
        <w:rPr>
          <w:rFonts w:ascii="Consolas" w:hAnsi="Consolas"/>
          <w:color w:val="17663E"/>
          <w:sz w:val="16"/>
        </w:rPr>
        <w:t>backend/app/forgery/gemini_vision.py</w:t>
      </w:r>
      <w:r>
        <w:rPr>
          <w:rFonts w:ascii="Aptos" w:hAnsi="Aptos"/>
        </w:rPr>
        <w:t xml:space="preserve"> has 15 forgery-method categories and three fallback categories.</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E6F0E9"/>
          </w:tcPr>
          <w:p>
            <w:pPr>
              <w:spacing w:after="20" w:before="20" w:line="240" w:lineRule="auto"/>
            </w:pPr>
            <w:r>
              <w:rPr>
                <w:rFonts w:ascii="Aptos" w:hAnsi="Aptos"/>
                <w:b/>
                <w:color w:val="174F33"/>
                <w:sz w:val="15"/>
              </w:rPr>
              <w:t>Method group</w:t>
            </w:r>
          </w:p>
        </w:tc>
        <w:tc>
          <w:tcPr>
            <w:tcW w:type="dxa" w:w="5141"/>
            <w:vAlign w:val="center"/>
            <w:shd w:fill="E6F0E9"/>
          </w:tcPr>
          <w:p>
            <w:pPr>
              <w:spacing w:after="20" w:before="20" w:line="240" w:lineRule="auto"/>
            </w:pPr>
            <w:r>
              <w:rPr>
                <w:rFonts w:ascii="Aptos" w:hAnsi="Aptos"/>
                <w:b/>
                <w:color w:val="174F33"/>
                <w:sz w:val="15"/>
              </w:rPr>
              <w:t>Codes</w:t>
            </w:r>
          </w:p>
        </w:tc>
      </w:tr>
      <w:tr>
        <w:tc>
          <w:tcPr>
            <w:tcW w:type="dxa" w:w="5141"/>
            <w:vAlign w:val="center"/>
            <w:shd w:fill="F5F7F5"/>
          </w:tcPr>
          <w:p>
            <w:pPr>
              <w:spacing w:after="20" w:before="20" w:line="240" w:lineRule="auto"/>
            </w:pPr>
            <w:r>
              <w:rPr>
                <w:rFonts w:ascii="Aptos" w:hAnsi="Aptos"/>
                <w:sz w:val="15"/>
              </w:rPr>
              <w:t>Traced writing</w:t>
            </w:r>
          </w:p>
        </w:tc>
        <w:tc>
          <w:tcPr>
            <w:tcW w:type="dxa" w:w="5141"/>
            <w:vAlign w:val="center"/>
            <w:shd w:fill="F5F7F5"/>
          </w:tcPr>
          <w:p>
            <w:pPr>
              <w:spacing w:after="20" w:before="20" w:line="240" w:lineRule="auto"/>
            </w:pPr>
            <w:r>
              <w:rPr>
                <w:rFonts w:ascii="Consolas" w:hAnsi="Consolas"/>
                <w:color w:val="17663E"/>
                <w:sz w:val="15"/>
              </w:rPr>
              <w:t>traced_carbon</w:t>
            </w:r>
            <w:r>
              <w:rPr>
                <w:rFonts w:ascii="Aptos" w:hAnsi="Aptos"/>
                <w:sz w:val="15"/>
              </w:rPr>
              <w:t xml:space="preserve">, </w:t>
            </w:r>
            <w:r>
              <w:rPr>
                <w:rFonts w:ascii="Consolas" w:hAnsi="Consolas"/>
                <w:color w:val="17663E"/>
                <w:sz w:val="15"/>
              </w:rPr>
              <w:t>traced_indentation</w:t>
            </w:r>
            <w:r>
              <w:rPr>
                <w:rFonts w:ascii="Aptos" w:hAnsi="Aptos"/>
                <w:sz w:val="15"/>
              </w:rPr>
              <w:t xml:space="preserve">, </w:t>
            </w:r>
            <w:r>
              <w:rPr>
                <w:rFonts w:ascii="Consolas" w:hAnsi="Consolas"/>
                <w:color w:val="17663E"/>
                <w:sz w:val="15"/>
              </w:rPr>
              <w:t>traced_projection</w:t>
            </w:r>
          </w:p>
        </w:tc>
      </w:tr>
      <w:tr>
        <w:tc>
          <w:tcPr>
            <w:tcW w:type="dxa" w:w="5141"/>
            <w:vAlign w:val="center"/>
            <w:shd w:fill="FFFFFF"/>
          </w:tcPr>
          <w:p>
            <w:pPr>
              <w:spacing w:after="20" w:before="20" w:line="240" w:lineRule="auto"/>
            </w:pPr>
            <w:r>
              <w:rPr>
                <w:rFonts w:ascii="Aptos" w:hAnsi="Aptos"/>
                <w:sz w:val="15"/>
              </w:rPr>
              <w:t>Alteration</w:t>
            </w:r>
          </w:p>
        </w:tc>
        <w:tc>
          <w:tcPr>
            <w:tcW w:type="dxa" w:w="5141"/>
            <w:vAlign w:val="center"/>
            <w:shd w:fill="FFFFFF"/>
          </w:tcPr>
          <w:p>
            <w:pPr>
              <w:spacing w:after="20" w:before="20" w:line="240" w:lineRule="auto"/>
            </w:pPr>
            <w:r>
              <w:rPr>
                <w:rFonts w:ascii="Consolas" w:hAnsi="Consolas"/>
                <w:color w:val="17663E"/>
                <w:sz w:val="15"/>
              </w:rPr>
              <w:t>addition_insertion</w:t>
            </w:r>
            <w:r>
              <w:rPr>
                <w:rFonts w:ascii="Aptos" w:hAnsi="Aptos"/>
                <w:sz w:val="15"/>
              </w:rPr>
              <w:t xml:space="preserve">, </w:t>
            </w:r>
            <w:r>
              <w:rPr>
                <w:rFonts w:ascii="Consolas" w:hAnsi="Consolas"/>
                <w:color w:val="17663E"/>
                <w:sz w:val="15"/>
              </w:rPr>
              <w:t>addition_interlineation</w:t>
            </w:r>
            <w:r>
              <w:rPr>
                <w:rFonts w:ascii="Aptos" w:hAnsi="Aptos"/>
                <w:sz w:val="15"/>
              </w:rPr>
              <w:t xml:space="preserve">, </w:t>
            </w:r>
            <w:r>
              <w:rPr>
                <w:rFonts w:ascii="Consolas" w:hAnsi="Consolas"/>
                <w:color w:val="17663E"/>
                <w:sz w:val="15"/>
              </w:rPr>
              <w:t>erasure_chemical</w:t>
            </w:r>
            <w:r>
              <w:rPr>
                <w:rFonts w:ascii="Aptos" w:hAnsi="Aptos"/>
                <w:sz w:val="15"/>
              </w:rPr>
              <w:t xml:space="preserve">, </w:t>
            </w:r>
            <w:r>
              <w:rPr>
                <w:rFonts w:ascii="Consolas" w:hAnsi="Consolas"/>
                <w:color w:val="17663E"/>
                <w:sz w:val="15"/>
              </w:rPr>
              <w:t>erasure_mechanical</w:t>
            </w:r>
          </w:p>
        </w:tc>
      </w:tr>
      <w:tr>
        <w:tc>
          <w:tcPr>
            <w:tcW w:type="dxa" w:w="5141"/>
            <w:vAlign w:val="center"/>
            <w:shd w:fill="F5F7F5"/>
          </w:tcPr>
          <w:p>
            <w:pPr>
              <w:spacing w:after="20" w:before="20" w:line="240" w:lineRule="auto"/>
            </w:pPr>
            <w:r>
              <w:rPr>
                <w:rFonts w:ascii="Aptos" w:hAnsi="Aptos"/>
                <w:sz w:val="15"/>
              </w:rPr>
              <w:t>Digital manipulation</w:t>
            </w:r>
          </w:p>
        </w:tc>
        <w:tc>
          <w:tcPr>
            <w:tcW w:type="dxa" w:w="5141"/>
            <w:vAlign w:val="center"/>
            <w:shd w:fill="F5F7F5"/>
          </w:tcPr>
          <w:p>
            <w:pPr>
              <w:spacing w:after="20" w:before="20" w:line="240" w:lineRule="auto"/>
            </w:pPr>
            <w:r>
              <w:rPr>
                <w:rFonts w:ascii="Consolas" w:hAnsi="Consolas"/>
                <w:color w:val="17663E"/>
                <w:sz w:val="15"/>
              </w:rPr>
              <w:t>digital_cut_paste</w:t>
            </w:r>
            <w:r>
              <w:rPr>
                <w:rFonts w:ascii="Aptos" w:hAnsi="Aptos"/>
                <w:sz w:val="15"/>
              </w:rPr>
              <w:t xml:space="preserve">, </w:t>
            </w:r>
            <w:r>
              <w:rPr>
                <w:rFonts w:ascii="Consolas" w:hAnsi="Consolas"/>
                <w:color w:val="17663E"/>
                <w:sz w:val="15"/>
              </w:rPr>
              <w:t>digital_desktop</w:t>
            </w:r>
            <w:r>
              <w:rPr>
                <w:rFonts w:ascii="Aptos" w:hAnsi="Aptos"/>
                <w:sz w:val="15"/>
              </w:rPr>
              <w:t xml:space="preserve">, </w:t>
            </w:r>
            <w:r>
              <w:rPr>
                <w:rFonts w:ascii="Consolas" w:hAnsi="Consolas"/>
                <w:color w:val="17663E"/>
                <w:sz w:val="15"/>
              </w:rPr>
              <w:t>digital_scanned</w:t>
            </w:r>
          </w:p>
        </w:tc>
      </w:tr>
      <w:tr>
        <w:tc>
          <w:tcPr>
            <w:tcW w:type="dxa" w:w="5141"/>
            <w:vAlign w:val="center"/>
            <w:shd w:fill="FFFFFF"/>
          </w:tcPr>
          <w:p>
            <w:pPr>
              <w:spacing w:after="20" w:before="20" w:line="240" w:lineRule="auto"/>
            </w:pPr>
            <w:r>
              <w:rPr>
                <w:rFonts w:ascii="Aptos" w:hAnsi="Aptos"/>
                <w:sz w:val="15"/>
              </w:rPr>
              <w:t>Obliteration</w:t>
            </w:r>
          </w:p>
        </w:tc>
        <w:tc>
          <w:tcPr>
            <w:tcW w:type="dxa" w:w="5141"/>
            <w:vAlign w:val="center"/>
            <w:shd w:fill="FFFFFF"/>
          </w:tcPr>
          <w:p>
            <w:pPr>
              <w:spacing w:after="20" w:before="20" w:line="240" w:lineRule="auto"/>
            </w:pPr>
            <w:r>
              <w:rPr>
                <w:rFonts w:ascii="Consolas" w:hAnsi="Consolas"/>
                <w:color w:val="17663E"/>
                <w:sz w:val="15"/>
              </w:rPr>
              <w:t>obliteration_ink</w:t>
            </w:r>
            <w:r>
              <w:rPr>
                <w:rFonts w:ascii="Aptos" w:hAnsi="Aptos"/>
                <w:sz w:val="15"/>
              </w:rPr>
              <w:t xml:space="preserve">, </w:t>
            </w:r>
            <w:r>
              <w:rPr>
                <w:rFonts w:ascii="Consolas" w:hAnsi="Consolas"/>
                <w:color w:val="17663E"/>
                <w:sz w:val="15"/>
              </w:rPr>
              <w:t>obliteration_whiteout</w:t>
            </w:r>
          </w:p>
        </w:tc>
      </w:tr>
      <w:tr>
        <w:tc>
          <w:tcPr>
            <w:tcW w:type="dxa" w:w="5141"/>
            <w:vAlign w:val="center"/>
            <w:shd w:fill="F5F7F5"/>
          </w:tcPr>
          <w:p>
            <w:pPr>
              <w:spacing w:after="20" w:before="20" w:line="240" w:lineRule="auto"/>
            </w:pPr>
            <w:r>
              <w:rPr>
                <w:rFonts w:ascii="Aptos" w:hAnsi="Aptos"/>
                <w:sz w:val="15"/>
              </w:rPr>
              <w:t>Sympathetic writing</w:t>
            </w:r>
          </w:p>
        </w:tc>
        <w:tc>
          <w:tcPr>
            <w:tcW w:type="dxa" w:w="5141"/>
            <w:vAlign w:val="center"/>
            <w:shd w:fill="F5F7F5"/>
          </w:tcPr>
          <w:p>
            <w:pPr>
              <w:spacing w:after="20" w:before="20" w:line="240" w:lineRule="auto"/>
            </w:pPr>
            <w:r>
              <w:rPr>
                <w:rFonts w:ascii="Consolas" w:hAnsi="Consolas"/>
                <w:color w:val="17663E"/>
                <w:sz w:val="15"/>
              </w:rPr>
              <w:t>sympathetic_indented</w:t>
            </w:r>
            <w:r>
              <w:rPr>
                <w:rFonts w:ascii="Aptos" w:hAnsi="Aptos"/>
                <w:sz w:val="15"/>
              </w:rPr>
              <w:t xml:space="preserve">, </w:t>
            </w:r>
            <w:r>
              <w:rPr>
                <w:rFonts w:ascii="Consolas" w:hAnsi="Consolas"/>
                <w:color w:val="17663E"/>
                <w:sz w:val="15"/>
              </w:rPr>
              <w:t>sympathetic_special</w:t>
            </w:r>
          </w:p>
        </w:tc>
      </w:tr>
      <w:tr>
        <w:tc>
          <w:tcPr>
            <w:tcW w:type="dxa" w:w="5141"/>
            <w:vAlign w:val="center"/>
            <w:shd w:fill="FFFFFF"/>
          </w:tcPr>
          <w:p>
            <w:pPr>
              <w:spacing w:after="20" w:before="20" w:line="240" w:lineRule="auto"/>
            </w:pPr>
            <w:r>
              <w:rPr>
                <w:rFonts w:ascii="Aptos" w:hAnsi="Aptos"/>
                <w:sz w:val="15"/>
              </w:rPr>
              <w:t>Currency</w:t>
            </w:r>
          </w:p>
        </w:tc>
        <w:tc>
          <w:tcPr>
            <w:tcW w:type="dxa" w:w="5141"/>
            <w:vAlign w:val="center"/>
            <w:shd w:fill="FFFFFF"/>
          </w:tcPr>
          <w:p>
            <w:pPr>
              <w:spacing w:after="20" w:before="20" w:line="240" w:lineRule="auto"/>
            </w:pPr>
            <w:r>
              <w:rPr>
                <w:rFonts w:ascii="Consolas" w:hAnsi="Consolas"/>
                <w:color w:val="17663E"/>
                <w:sz w:val="15"/>
              </w:rPr>
              <w:t>currency_analysis</w:t>
            </w:r>
          </w:p>
        </w:tc>
      </w:tr>
      <w:tr>
        <w:tc>
          <w:tcPr>
            <w:tcW w:type="dxa" w:w="5141"/>
            <w:vAlign w:val="center"/>
            <w:shd w:fill="F5F7F5"/>
          </w:tcPr>
          <w:p>
            <w:pPr>
              <w:spacing w:after="20" w:before="20" w:line="240" w:lineRule="auto"/>
            </w:pPr>
            <w:r>
              <w:rPr>
                <w:rFonts w:ascii="Aptos" w:hAnsi="Aptos"/>
                <w:sz w:val="15"/>
              </w:rPr>
              <w:t>Fallbacks</w:t>
            </w:r>
          </w:p>
        </w:tc>
        <w:tc>
          <w:tcPr>
            <w:tcW w:type="dxa" w:w="5141"/>
            <w:vAlign w:val="center"/>
            <w:shd w:fill="F5F7F5"/>
          </w:tcPr>
          <w:p>
            <w:pPr>
              <w:spacing w:after="20" w:before="20" w:line="240" w:lineRule="auto"/>
            </w:pPr>
            <w:r>
              <w:rPr>
                <w:rFonts w:ascii="Consolas" w:hAnsi="Consolas"/>
                <w:color w:val="17663E"/>
                <w:sz w:val="15"/>
              </w:rPr>
              <w:t>no_forgery_detected</w:t>
            </w:r>
            <w:r>
              <w:rPr>
                <w:rFonts w:ascii="Aptos" w:hAnsi="Aptos"/>
                <w:sz w:val="15"/>
              </w:rPr>
              <w:t xml:space="preserve">, </w:t>
            </w:r>
            <w:r>
              <w:rPr>
                <w:rFonts w:ascii="Consolas" w:hAnsi="Consolas"/>
                <w:color w:val="17663E"/>
                <w:sz w:val="15"/>
              </w:rPr>
              <w:t>not_a_document</w:t>
            </w:r>
            <w:r>
              <w:rPr>
                <w:rFonts w:ascii="Aptos" w:hAnsi="Aptos"/>
                <w:sz w:val="15"/>
              </w:rPr>
              <w:t xml:space="preserve">, </w:t>
            </w:r>
            <w:r>
              <w:rPr>
                <w:rFonts w:ascii="Consolas" w:hAnsi="Consolas"/>
                <w:color w:val="17663E"/>
                <w:sz w:val="15"/>
              </w:rPr>
              <w:t>other</w:t>
            </w:r>
          </w:p>
        </w:tc>
      </w:tr>
    </w:tbl>
    <w:p>
      <w:pPr>
        <w:spacing w:after="0"/>
      </w:pPr>
    </w:p>
    <w:p>
      <w:r>
        <w:rPr>
          <w:rFonts w:ascii="Aptos" w:hAnsi="Aptos"/>
        </w:rPr>
        <w:t xml:space="preserve">Categories represent observed methods or signs. Specimen types without dedicated categories, such as charred or water-damaged documents, are routed to the closest available category or </w:t>
      </w:r>
      <w:r>
        <w:rPr>
          <w:rFonts w:ascii="Consolas" w:hAnsi="Consolas"/>
          <w:color w:val="17663E"/>
          <w:sz w:val="16"/>
        </w:rPr>
        <w:t>other</w:t>
      </w:r>
      <w:r>
        <w:rPr>
          <w:rFonts w:ascii="Aptos" w:hAnsi="Aptos"/>
        </w:rPr>
        <w:t>.</w:t>
      </w:r>
    </w:p>
    <w:p>
      <w:pPr>
        <w:pStyle w:val="Heading2"/>
      </w:pPr>
      <w:r>
        <w:rPr>
          <w:rFonts w:ascii="Aptos" w:hAnsi="Aptos"/>
        </w:rPr>
        <w:t>Verdict Mapping</w:t>
      </w:r>
    </w:p>
    <w:p>
      <w:r>
        <w:rPr>
          <w:rFonts w:ascii="Aptos" w:hAnsi="Aptos"/>
        </w:rPr>
        <w:t xml:space="preserve">The route converts Gemini’s category and confidence into the user-facing result. Explicit </w:t>
      </w:r>
      <w:r>
        <w:rPr>
          <w:rFonts w:ascii="Consolas" w:hAnsi="Consolas"/>
          <w:color w:val="17663E"/>
          <w:sz w:val="16"/>
        </w:rPr>
        <w:t>not_a_document</w:t>
      </w:r>
      <w:r>
        <w:rPr>
          <w:rFonts w:ascii="Aptos" w:hAnsi="Aptos"/>
        </w:rPr>
        <w:t xml:space="preserve"> and </w:t>
      </w:r>
      <w:r>
        <w:rPr>
          <w:rFonts w:ascii="Consolas" w:hAnsi="Consolas"/>
          <w:color w:val="17663E"/>
          <w:sz w:val="16"/>
        </w:rPr>
        <w:t>no_forgery_detected</w:t>
      </w:r>
      <w:r>
        <w:rPr>
          <w:rFonts w:ascii="Aptos" w:hAnsi="Aptos"/>
        </w:rPr>
        <w:t xml:space="preserve"> categories retain their meaning. Other classifications use confidence thresholds:</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E6F0E9"/>
          </w:tcPr>
          <w:p>
            <w:pPr>
              <w:spacing w:after="20" w:before="20" w:line="240" w:lineRule="auto"/>
            </w:pPr>
            <w:r>
              <w:rPr>
                <w:rFonts w:ascii="Aptos" w:hAnsi="Aptos"/>
                <w:b/>
                <w:color w:val="174F33"/>
                <w:sz w:val="15"/>
              </w:rPr>
              <w:t>Confidence</w:t>
            </w:r>
          </w:p>
        </w:tc>
        <w:tc>
          <w:tcPr>
            <w:tcW w:type="dxa" w:w="5141"/>
            <w:vAlign w:val="center"/>
            <w:shd w:fill="E6F0E9"/>
          </w:tcPr>
          <w:p>
            <w:pPr>
              <w:spacing w:after="20" w:before="20" w:line="240" w:lineRule="auto"/>
            </w:pPr>
            <w:r>
              <w:rPr>
                <w:rFonts w:ascii="Aptos" w:hAnsi="Aptos"/>
                <w:b/>
                <w:color w:val="174F33"/>
                <w:sz w:val="15"/>
              </w:rPr>
              <w:t>Verdict</w:t>
            </w:r>
          </w:p>
        </w:tc>
      </w:tr>
      <w:tr>
        <w:tc>
          <w:tcPr>
            <w:tcW w:type="dxa" w:w="5141"/>
            <w:vAlign w:val="center"/>
            <w:shd w:fill="F5F7F5"/>
          </w:tcPr>
          <w:p>
            <w:pPr>
              <w:spacing w:after="20" w:before="20" w:line="240" w:lineRule="auto"/>
            </w:pPr>
            <w:r>
              <w:rPr>
                <w:rFonts w:ascii="Aptos" w:hAnsi="Aptos"/>
                <w:sz w:val="15"/>
              </w:rPr>
              <w:t>0.70 or higher</w:t>
            </w:r>
          </w:p>
        </w:tc>
        <w:tc>
          <w:tcPr>
            <w:tcW w:type="dxa" w:w="5141"/>
            <w:vAlign w:val="center"/>
            <w:shd w:fill="F5F7F5"/>
          </w:tcPr>
          <w:p>
            <w:pPr>
              <w:spacing w:after="20" w:before="20" w:line="240" w:lineRule="auto"/>
            </w:pPr>
            <w:r>
              <w:rPr>
                <w:rFonts w:ascii="Consolas" w:hAnsi="Consolas"/>
                <w:color w:val="17663E"/>
                <w:sz w:val="15"/>
              </w:rPr>
              <w:t>forged</w:t>
            </w:r>
          </w:p>
        </w:tc>
      </w:tr>
      <w:tr>
        <w:tc>
          <w:tcPr>
            <w:tcW w:type="dxa" w:w="5141"/>
            <w:vAlign w:val="center"/>
            <w:shd w:fill="FFFFFF"/>
          </w:tcPr>
          <w:p>
            <w:pPr>
              <w:spacing w:after="20" w:before="20" w:line="240" w:lineRule="auto"/>
            </w:pPr>
            <w:r>
              <w:rPr>
                <w:rFonts w:ascii="Aptos" w:hAnsi="Aptos"/>
                <w:sz w:val="15"/>
              </w:rPr>
              <w:t>0.50 to below 0.70</w:t>
            </w:r>
          </w:p>
        </w:tc>
        <w:tc>
          <w:tcPr>
            <w:tcW w:type="dxa" w:w="5141"/>
            <w:vAlign w:val="center"/>
            <w:shd w:fill="FFFFFF"/>
          </w:tcPr>
          <w:p>
            <w:pPr>
              <w:spacing w:after="20" w:before="20" w:line="240" w:lineRule="auto"/>
            </w:pPr>
            <w:r>
              <w:rPr>
                <w:rFonts w:ascii="Consolas" w:hAnsi="Consolas"/>
                <w:color w:val="17663E"/>
                <w:sz w:val="15"/>
              </w:rPr>
              <w:t>suspicious</w:t>
            </w:r>
          </w:p>
        </w:tc>
      </w:tr>
      <w:tr>
        <w:tc>
          <w:tcPr>
            <w:tcW w:type="dxa" w:w="5141"/>
            <w:vAlign w:val="center"/>
            <w:shd w:fill="F5F7F5"/>
          </w:tcPr>
          <w:p>
            <w:pPr>
              <w:spacing w:after="20" w:before="20" w:line="240" w:lineRule="auto"/>
            </w:pPr>
            <w:r>
              <w:rPr>
                <w:rFonts w:ascii="Aptos" w:hAnsi="Aptos"/>
                <w:sz w:val="15"/>
              </w:rPr>
              <w:t>Below 0.50</w:t>
            </w:r>
          </w:p>
        </w:tc>
        <w:tc>
          <w:tcPr>
            <w:tcW w:type="dxa" w:w="5141"/>
            <w:vAlign w:val="center"/>
            <w:shd w:fill="F5F7F5"/>
          </w:tcPr>
          <w:p>
            <w:pPr>
              <w:spacing w:after="20" w:before="20" w:line="240" w:lineRule="auto"/>
            </w:pPr>
            <w:r>
              <w:rPr>
                <w:rFonts w:ascii="Consolas" w:hAnsi="Consolas"/>
                <w:color w:val="17663E"/>
                <w:sz w:val="15"/>
              </w:rPr>
              <w:t>no_forgery_detected</w:t>
            </w:r>
          </w:p>
        </w:tc>
      </w:tr>
    </w:tbl>
    <w:p>
      <w:pPr>
        <w:spacing w:after="0"/>
      </w:pPr>
    </w:p>
    <w:p>
      <w:r>
        <w:rPr>
          <w:rFonts w:ascii="Aptos" w:hAnsi="Aptos"/>
        </w:rPr>
        <w:t>These values are model-reported confidence scores and are not a calibrated probability of authenticity. The result should be treated as a screening signal for human review.</w:t>
      </w:r>
    </w:p>
    <w:p>
      <w:pPr>
        <w:pStyle w:val="Heading2"/>
      </w:pPr>
      <w:r>
        <w:rPr>
          <w:rFonts w:ascii="Aptos" w:hAnsi="Aptos"/>
        </w:rPr>
        <w:t>Model Calls and Image Handling</w:t>
      </w:r>
    </w:p>
    <w:p>
      <w:r>
        <w:rPr>
          <w:rFonts w:ascii="Aptos" w:hAnsi="Aptos"/>
        </w:rPr>
        <w:t xml:space="preserve">The main Gemini request sends a resized JPEG together with the system prompt and optional user context. The configured model defaults to </w:t>
      </w:r>
      <w:r>
        <w:rPr>
          <w:rFonts w:ascii="Consolas" w:hAnsi="Consolas"/>
          <w:color w:val="17663E"/>
          <w:sz w:val="16"/>
        </w:rPr>
        <w:t>gemini-2.5-flash</w:t>
      </w:r>
      <w:r>
        <w:rPr>
          <w:rFonts w:ascii="Aptos" w:hAnsi="Aptos"/>
        </w:rPr>
        <w:t>; the backend expects a JSON response. A confidence-gated critique runs only below 0.80 confidence, so it may add a second model call for uncertain cases. The optional local classifier is loaded from a separately trained model file; when unavailable, analysis continues through Gemini without the hint.</w:t>
      </w:r>
    </w:p>
    <w:p>
      <w:r>
        <w:rPr>
          <w:rFonts w:ascii="Aptos" w:hAnsi="Aptos"/>
        </w:rPr>
        <w:t>The document gate uses the configured Groq vision model when cloud screening is enabled and a Groq key is present; otherwise it attempts the configured Ollama model. If the gate cannot complete, it fails open and allows the image through to the main analysis rather than blocking the user.</w:t>
      </w:r>
    </w:p>
    <w:p>
      <w:r>
        <w:br w:type="page"/>
      </w:r>
    </w:p>
    <w:p>
      <w:pPr>
        <w:pStyle w:val="Heading1"/>
      </w:pPr>
      <w:r>
        <w:rPr>
          <w:rFonts w:ascii="Aptos" w:hAnsi="Aptos"/>
        </w:rPr>
        <w:t>Accounts, Data, and Application Structure</w:t>
      </w:r>
    </w:p>
    <w:p>
      <w:pPr>
        <w:pStyle w:val="Heading2"/>
      </w:pPr>
      <w:r>
        <w:rPr>
          <w:rFonts w:ascii="Aptos" w:hAnsi="Aptos"/>
        </w:rPr>
        <w:t>Accounts and Access</w:t>
      </w:r>
    </w:p>
    <w:p>
      <w:r>
        <w:rPr>
          <w:rFonts w:ascii="Aptos" w:hAnsi="Aptos"/>
        </w:rPr>
        <w:t>The authentication routes support account registration, password login, token refresh, email verification, password reset, and Google sign-in. Passwords are hashed with bcrypt. Authenticated requests use signed JWT access tokens. Email-code two-factor authentication is configurable and applies to eligible password logins when email delivery is available. Users can save Gemini API keys to their accounts; the analysis route tries the user’s configured key records.</w:t>
      </w:r>
    </w:p>
    <w:p>
      <w:r>
        <w:rPr>
          <w:rFonts w:ascii="Aptos" w:hAnsi="Aptos"/>
        </w:rPr>
        <w:t>Google ID-token verification allows a small 10-second clock-skew tolerance to avoid rejecting otherwise valid tokens because of minor clock differences. Token signature, audience, issuer, and expiry verification remain in place.</w:t>
      </w:r>
    </w:p>
    <w:p>
      <w:pPr>
        <w:pStyle w:val="Heading2"/>
      </w:pPr>
      <w:r>
        <w:rPr>
          <w:rFonts w:ascii="Aptos" w:hAnsi="Aptos"/>
        </w:rPr>
        <w:t>Data Storage</w:t>
      </w:r>
    </w:p>
    <w:p>
      <w:r>
        <w:rPr>
          <w:rFonts w:ascii="Aptos" w:hAnsi="Aptos"/>
        </w:rPr>
        <w:t xml:space="preserve">SQLAlchemy models define user accounts, saved API keys, login codes, trusted devices, scans, and audit records. SQLite is the default database. On Windows, the default data directory is under the user’s Local AppData folder; </w:t>
      </w:r>
      <w:r>
        <w:rPr>
          <w:rFonts w:ascii="Consolas" w:hAnsi="Consolas"/>
          <w:color w:val="17663E"/>
          <w:sz w:val="16"/>
        </w:rPr>
        <w:t>REVELATOR_DATA_DIR</w:t>
      </w:r>
      <w:r>
        <w:rPr>
          <w:rFonts w:ascii="Aptos" w:hAnsi="Aptos"/>
        </w:rPr>
        <w:t xml:space="preserve"> can override it. </w:t>
      </w:r>
      <w:r>
        <w:rPr>
          <w:rFonts w:ascii="Consolas" w:hAnsi="Consolas"/>
          <w:color w:val="17663E"/>
          <w:sz w:val="16"/>
        </w:rPr>
        <w:t>DATABASE_URL</w:t>
      </w:r>
      <w:r>
        <w:rPr>
          <w:rFonts w:ascii="Aptos" w:hAnsi="Aptos"/>
        </w:rPr>
        <w:t xml:space="preserve"> can select another SQLAlchemy-supported database.</w:t>
      </w:r>
    </w:p>
    <w:p>
      <w:r>
        <w:rPr>
          <w:rFonts w:ascii="Aptos" w:hAnsi="Aptos"/>
        </w:rPr>
        <w:t>Scan records store the verdict, confidence, detected category, explanation, evidence, timestamps, and image path. Uploaded scan images are saved separately from the database. Database files, API secrets, and uploaded documents are local/runtime data and are not included in the source appendix.</w:t>
      </w:r>
    </w:p>
    <w:p>
      <w:pPr>
        <w:pStyle w:val="Heading2"/>
      </w:pPr>
      <w:r>
        <w:rPr>
          <w:rFonts w:ascii="Aptos" w:hAnsi="Aptos"/>
        </w:rPr>
        <w:t>Core Source Map</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E6F0E9"/>
          </w:tcPr>
          <w:p>
            <w:pPr>
              <w:spacing w:after="20" w:before="20" w:line="240" w:lineRule="auto"/>
            </w:pPr>
            <w:r>
              <w:rPr>
                <w:rFonts w:ascii="Aptos" w:hAnsi="Aptos"/>
                <w:b/>
                <w:color w:val="174F33"/>
                <w:sz w:val="15"/>
              </w:rPr>
              <w:t>File or directory</w:t>
            </w:r>
          </w:p>
        </w:tc>
        <w:tc>
          <w:tcPr>
            <w:tcW w:type="dxa" w:w="5141"/>
            <w:vAlign w:val="center"/>
            <w:shd w:fill="E6F0E9"/>
          </w:tcPr>
          <w:p>
            <w:pPr>
              <w:spacing w:after="20" w:before="20" w:line="240" w:lineRule="auto"/>
            </w:pPr>
            <w:r>
              <w:rPr>
                <w:rFonts w:ascii="Aptos" w:hAnsi="Aptos"/>
                <w:b/>
                <w:color w:val="174F33"/>
                <w:sz w:val="15"/>
              </w:rPr>
              <w:t>Purpose</w:t>
            </w:r>
          </w:p>
        </w:tc>
      </w:tr>
      <w:tr>
        <w:tc>
          <w:tcPr>
            <w:tcW w:type="dxa" w:w="5141"/>
            <w:vAlign w:val="center"/>
            <w:shd w:fill="F5F7F5"/>
          </w:tcPr>
          <w:p>
            <w:pPr>
              <w:spacing w:after="20" w:before="20" w:line="240" w:lineRule="auto"/>
            </w:pPr>
            <w:r>
              <w:rPr>
                <w:rFonts w:ascii="Consolas" w:hAnsi="Consolas"/>
                <w:color w:val="17663E"/>
                <w:sz w:val="15"/>
              </w:rPr>
              <w:t>frontend/src/App.jsx</w:t>
            </w:r>
          </w:p>
        </w:tc>
        <w:tc>
          <w:tcPr>
            <w:tcW w:type="dxa" w:w="5141"/>
            <w:vAlign w:val="center"/>
            <w:shd w:fill="F5F7F5"/>
          </w:tcPr>
          <w:p>
            <w:pPr>
              <w:spacing w:after="20" w:before="20" w:line="240" w:lineRule="auto"/>
            </w:pPr>
            <w:r>
              <w:rPr>
                <w:rFonts w:ascii="Aptos" w:hAnsi="Aptos"/>
                <w:sz w:val="15"/>
              </w:rPr>
              <w:t>Client routes and high-level application state</w:t>
            </w:r>
          </w:p>
        </w:tc>
      </w:tr>
      <w:tr>
        <w:tc>
          <w:tcPr>
            <w:tcW w:type="dxa" w:w="5141"/>
            <w:vAlign w:val="center"/>
            <w:shd w:fill="FFFFFF"/>
          </w:tcPr>
          <w:p>
            <w:pPr>
              <w:spacing w:after="20" w:before="20" w:line="240" w:lineRule="auto"/>
            </w:pPr>
            <w:r>
              <w:rPr>
                <w:rFonts w:ascii="Consolas" w:hAnsi="Consolas"/>
                <w:color w:val="17663E"/>
                <w:sz w:val="15"/>
              </w:rPr>
              <w:t>frontend/src/api/client.js</w:t>
            </w:r>
          </w:p>
        </w:tc>
        <w:tc>
          <w:tcPr>
            <w:tcW w:type="dxa" w:w="5141"/>
            <w:vAlign w:val="center"/>
            <w:shd w:fill="FFFFFF"/>
          </w:tcPr>
          <w:p>
            <w:pPr>
              <w:spacing w:after="20" w:before="20" w:line="240" w:lineRule="auto"/>
            </w:pPr>
            <w:r>
              <w:rPr>
                <w:rFonts w:ascii="Aptos" w:hAnsi="Aptos"/>
                <w:sz w:val="15"/>
              </w:rPr>
              <w:t>API requests, authentication headers, refresh behavior, and scan upload</w:t>
            </w:r>
          </w:p>
        </w:tc>
      </w:tr>
      <w:tr>
        <w:tc>
          <w:tcPr>
            <w:tcW w:type="dxa" w:w="5141"/>
            <w:vAlign w:val="center"/>
            <w:shd w:fill="F5F7F5"/>
          </w:tcPr>
          <w:p>
            <w:pPr>
              <w:spacing w:after="20" w:before="20" w:line="240" w:lineRule="auto"/>
            </w:pPr>
            <w:r>
              <w:rPr>
                <w:rFonts w:ascii="Consolas" w:hAnsi="Consolas"/>
                <w:color w:val="17663E"/>
                <w:sz w:val="15"/>
              </w:rPr>
              <w:t>frontend/src/pages/</w:t>
            </w:r>
          </w:p>
        </w:tc>
        <w:tc>
          <w:tcPr>
            <w:tcW w:type="dxa" w:w="5141"/>
            <w:vAlign w:val="center"/>
            <w:shd w:fill="F5F7F5"/>
          </w:tcPr>
          <w:p>
            <w:pPr>
              <w:spacing w:after="20" w:before="20" w:line="240" w:lineRule="auto"/>
            </w:pPr>
            <w:r>
              <w:rPr>
                <w:rFonts w:ascii="Aptos" w:hAnsi="Aptos"/>
                <w:sz w:val="15"/>
              </w:rPr>
              <w:t>Sign-in, scan, history, account, and other user-facing pages</w:t>
            </w:r>
          </w:p>
        </w:tc>
      </w:tr>
      <w:tr>
        <w:tc>
          <w:tcPr>
            <w:tcW w:type="dxa" w:w="5141"/>
            <w:vAlign w:val="center"/>
            <w:shd w:fill="FFFFFF"/>
          </w:tcPr>
          <w:p>
            <w:pPr>
              <w:spacing w:after="20" w:before="20" w:line="240" w:lineRule="auto"/>
            </w:pPr>
            <w:r>
              <w:rPr>
                <w:rFonts w:ascii="Consolas" w:hAnsi="Consolas"/>
                <w:color w:val="17663E"/>
                <w:sz w:val="15"/>
              </w:rPr>
              <w:t>backend/app/main.py</w:t>
            </w:r>
          </w:p>
        </w:tc>
        <w:tc>
          <w:tcPr>
            <w:tcW w:type="dxa" w:w="5141"/>
            <w:vAlign w:val="center"/>
            <w:shd w:fill="FFFFFF"/>
          </w:tcPr>
          <w:p>
            <w:pPr>
              <w:spacing w:after="20" w:before="20" w:line="240" w:lineRule="auto"/>
            </w:pPr>
            <w:r>
              <w:rPr>
                <w:rFonts w:ascii="Aptos" w:hAnsi="Aptos"/>
                <w:sz w:val="15"/>
              </w:rPr>
              <w:t>FastAPI app, middleware, route registration, and startup</w:t>
            </w:r>
          </w:p>
        </w:tc>
      </w:tr>
      <w:tr>
        <w:tc>
          <w:tcPr>
            <w:tcW w:type="dxa" w:w="5141"/>
            <w:vAlign w:val="center"/>
            <w:shd w:fill="F5F7F5"/>
          </w:tcPr>
          <w:p>
            <w:pPr>
              <w:spacing w:after="20" w:before="20" w:line="240" w:lineRule="auto"/>
            </w:pPr>
            <w:r>
              <w:rPr>
                <w:rFonts w:ascii="Consolas" w:hAnsi="Consolas"/>
                <w:color w:val="17663E"/>
                <w:sz w:val="15"/>
              </w:rPr>
              <w:t>backend/app/routes/analyze.py</w:t>
            </w:r>
          </w:p>
        </w:tc>
        <w:tc>
          <w:tcPr>
            <w:tcW w:type="dxa" w:w="5141"/>
            <w:vAlign w:val="center"/>
            <w:shd w:fill="F5F7F5"/>
          </w:tcPr>
          <w:p>
            <w:pPr>
              <w:spacing w:after="20" w:before="20" w:line="240" w:lineRule="auto"/>
            </w:pPr>
            <w:r>
              <w:rPr>
                <w:rFonts w:ascii="Aptos" w:hAnsi="Aptos"/>
                <w:sz w:val="15"/>
              </w:rPr>
              <w:t>Image-analysis endpoint, verdict mapping, and scan persistence</w:t>
            </w:r>
          </w:p>
        </w:tc>
      </w:tr>
      <w:tr>
        <w:tc>
          <w:tcPr>
            <w:tcW w:type="dxa" w:w="5141"/>
            <w:vAlign w:val="center"/>
            <w:shd w:fill="FFFFFF"/>
          </w:tcPr>
          <w:p>
            <w:pPr>
              <w:spacing w:after="20" w:before="20" w:line="240" w:lineRule="auto"/>
            </w:pPr>
            <w:r>
              <w:rPr>
                <w:rFonts w:ascii="Consolas" w:hAnsi="Consolas"/>
                <w:color w:val="17663E"/>
                <w:sz w:val="15"/>
              </w:rPr>
              <w:t>backend/app/routes/auth.py</w:t>
            </w:r>
          </w:p>
        </w:tc>
        <w:tc>
          <w:tcPr>
            <w:tcW w:type="dxa" w:w="5141"/>
            <w:vAlign w:val="center"/>
            <w:shd w:fill="FFFFFF"/>
          </w:tcPr>
          <w:p>
            <w:pPr>
              <w:spacing w:after="20" w:before="20" w:line="240" w:lineRule="auto"/>
            </w:pPr>
            <w:r>
              <w:rPr>
                <w:rFonts w:ascii="Aptos" w:hAnsi="Aptos"/>
                <w:sz w:val="15"/>
              </w:rPr>
              <w:t>Registration, login, Google sign-in, and account endpoints</w:t>
            </w:r>
          </w:p>
        </w:tc>
      </w:tr>
      <w:tr>
        <w:tc>
          <w:tcPr>
            <w:tcW w:type="dxa" w:w="5141"/>
            <w:vAlign w:val="center"/>
            <w:shd w:fill="F5F7F5"/>
          </w:tcPr>
          <w:p>
            <w:pPr>
              <w:spacing w:after="20" w:before="20" w:line="240" w:lineRule="auto"/>
            </w:pPr>
            <w:r>
              <w:rPr>
                <w:rFonts w:ascii="Consolas" w:hAnsi="Consolas"/>
                <w:color w:val="17663E"/>
                <w:sz w:val="15"/>
              </w:rPr>
              <w:t>backend/app/auth.py</w:t>
            </w:r>
          </w:p>
        </w:tc>
        <w:tc>
          <w:tcPr>
            <w:tcW w:type="dxa" w:w="5141"/>
            <w:vAlign w:val="center"/>
            <w:shd w:fill="F5F7F5"/>
          </w:tcPr>
          <w:p>
            <w:pPr>
              <w:spacing w:after="20" w:before="20" w:line="240" w:lineRule="auto"/>
            </w:pPr>
            <w:r>
              <w:rPr>
                <w:rFonts w:ascii="Aptos" w:hAnsi="Aptos"/>
                <w:sz w:val="15"/>
              </w:rPr>
              <w:t>Password, JWT, and authentication helpers</w:t>
            </w:r>
          </w:p>
        </w:tc>
      </w:tr>
      <w:tr>
        <w:tc>
          <w:tcPr>
            <w:tcW w:type="dxa" w:w="5141"/>
            <w:vAlign w:val="center"/>
            <w:shd w:fill="FFFFFF"/>
          </w:tcPr>
          <w:p>
            <w:pPr>
              <w:spacing w:after="20" w:before="20" w:line="240" w:lineRule="auto"/>
            </w:pPr>
            <w:r>
              <w:rPr>
                <w:rFonts w:ascii="Consolas" w:hAnsi="Consolas"/>
                <w:color w:val="17663E"/>
                <w:sz w:val="15"/>
              </w:rPr>
              <w:t>backend/app/forgery/gemini_vision.py</w:t>
            </w:r>
          </w:p>
        </w:tc>
        <w:tc>
          <w:tcPr>
            <w:tcW w:type="dxa" w:w="5141"/>
            <w:vAlign w:val="center"/>
            <w:shd w:fill="FFFFFF"/>
          </w:tcPr>
          <w:p>
            <w:pPr>
              <w:spacing w:after="20" w:before="20" w:line="240" w:lineRule="auto"/>
            </w:pPr>
            <w:r>
              <w:rPr>
                <w:rFonts w:ascii="Aptos" w:hAnsi="Aptos"/>
                <w:sz w:val="15"/>
              </w:rPr>
              <w:t>Category taxonomy, prompts, Gemini calls, and confidence review</w:t>
            </w:r>
          </w:p>
        </w:tc>
      </w:tr>
      <w:tr>
        <w:tc>
          <w:tcPr>
            <w:tcW w:type="dxa" w:w="5141"/>
            <w:vAlign w:val="center"/>
            <w:shd w:fill="F5F7F5"/>
          </w:tcPr>
          <w:p>
            <w:pPr>
              <w:spacing w:after="20" w:before="20" w:line="240" w:lineRule="auto"/>
            </w:pPr>
            <w:r>
              <w:rPr>
                <w:rFonts w:ascii="Consolas" w:hAnsi="Consolas"/>
                <w:color w:val="17663E"/>
                <w:sz w:val="15"/>
              </w:rPr>
              <w:t>backend/app/forgery/document_gate.py</w:t>
            </w:r>
          </w:p>
        </w:tc>
        <w:tc>
          <w:tcPr>
            <w:tcW w:type="dxa" w:w="5141"/>
            <w:vAlign w:val="center"/>
            <w:shd w:fill="F5F7F5"/>
          </w:tcPr>
          <w:p>
            <w:pPr>
              <w:spacing w:after="20" w:before="20" w:line="240" w:lineRule="auto"/>
            </w:pPr>
            <w:r>
              <w:rPr>
                <w:rFonts w:ascii="Aptos" w:hAnsi="Aptos"/>
                <w:sz w:val="15"/>
              </w:rPr>
              <w:t>Initial document/not-document screening</w:t>
            </w:r>
          </w:p>
        </w:tc>
      </w:tr>
      <w:tr>
        <w:tc>
          <w:tcPr>
            <w:tcW w:type="dxa" w:w="5141"/>
            <w:vAlign w:val="center"/>
            <w:shd w:fill="FFFFFF"/>
          </w:tcPr>
          <w:p>
            <w:pPr>
              <w:spacing w:after="20" w:before="20" w:line="240" w:lineRule="auto"/>
            </w:pPr>
            <w:r>
              <w:rPr>
                <w:rFonts w:ascii="Consolas" w:hAnsi="Consolas"/>
                <w:color w:val="17663E"/>
                <w:sz w:val="15"/>
              </w:rPr>
              <w:t>backend/app/models.py</w:t>
            </w:r>
            <w:r>
              <w:rPr>
                <w:rFonts w:ascii="Aptos" w:hAnsi="Aptos"/>
                <w:sz w:val="15"/>
              </w:rPr>
              <w:t xml:space="preserve"> and </w:t>
            </w:r>
            <w:r>
              <w:rPr>
                <w:rFonts w:ascii="Consolas" w:hAnsi="Consolas"/>
                <w:color w:val="17663E"/>
                <w:sz w:val="15"/>
              </w:rPr>
              <w:t>database.py</w:t>
            </w:r>
          </w:p>
        </w:tc>
        <w:tc>
          <w:tcPr>
            <w:tcW w:type="dxa" w:w="5141"/>
            <w:vAlign w:val="center"/>
            <w:shd w:fill="FFFFFF"/>
          </w:tcPr>
          <w:p>
            <w:pPr>
              <w:spacing w:after="20" w:before="20" w:line="240" w:lineRule="auto"/>
            </w:pPr>
            <w:r>
              <w:rPr>
                <w:rFonts w:ascii="Aptos" w:hAnsi="Aptos"/>
                <w:sz w:val="15"/>
              </w:rPr>
              <w:t>Database schema and SQLAlchemy sessions</w:t>
            </w:r>
          </w:p>
        </w:tc>
      </w:tr>
    </w:tbl>
    <w:p>
      <w:pPr>
        <w:spacing w:after="0"/>
      </w:pPr>
    </w:p>
    <w:p>
      <w:r>
        <w:br w:type="page"/>
      </w:r>
    </w:p>
    <w:p>
      <w:pPr>
        <w:pStyle w:val="Heading1"/>
      </w:pPr>
      <w:r>
        <w:rPr>
          <w:rFonts w:ascii="Aptos" w:hAnsi="Aptos"/>
        </w:rPr>
        <w:t>Evaluation, Configuration, and Limitations</w:t>
      </w:r>
    </w:p>
    <w:p>
      <w:pPr>
        <w:pStyle w:val="Heading2"/>
      </w:pPr>
      <w:r>
        <w:rPr>
          <w:rFonts w:ascii="Aptos" w:hAnsi="Aptos"/>
        </w:rPr>
        <w:t>Evaluation</w:t>
      </w:r>
    </w:p>
    <w:p>
      <w:r>
        <w:rPr>
          <w:rFonts w:ascii="Consolas" w:hAnsi="Consolas"/>
          <w:color w:val="17663E"/>
          <w:sz w:val="16"/>
        </w:rPr>
        <w:t>backend/evaluate_specimens.py</w:t>
      </w:r>
      <w:r>
        <w:rPr>
          <w:rFonts w:ascii="Aptos" w:hAnsi="Aptos"/>
        </w:rPr>
        <w:t xml:space="preserve"> evaluates the classifier using labeled specimen images. Forged and Genuine labels provide the main verdict-level comparison; category-hit scoring checks whether the predicted method belongs to an accepted category set. The harness writes miss details and a machine-readable accuracy summary. Evaluation calls use real Gemini requests and require a configured API key, so sample sizes should be kept small unless token usage is understood.</w:t>
      </w:r>
    </w:p>
    <w:p>
      <w:r>
        <w:rPr>
          <w:rFonts w:ascii="Aptos" w:hAnsi="Aptos"/>
        </w:rPr>
        <w:t>Example commands:</w:t>
      </w:r>
    </w:p>
    <w:p>
      <w:pPr>
        <w:spacing w:after="0" w:line="240" w:lineRule="auto"/>
        <w:ind w:left="173" w:right="115"/>
        <w:shd w:fill="F1F4F1"/>
      </w:pPr>
      <w:r>
        <w:rPr>
          <w:rFonts w:ascii="Consolas" w:hAnsi="Consolas"/>
          <w:color w:val="282F2B"/>
          <w:sz w:val="14"/>
        </w:rPr>
        <w:t>cd backend</w:t>
      </w:r>
    </w:p>
    <w:p>
      <w:pPr>
        <w:spacing w:after="0" w:line="240" w:lineRule="auto"/>
        <w:ind w:left="173" w:right="115"/>
        <w:shd w:fill="F1F4F1"/>
      </w:pPr>
      <w:r>
        <w:rPr>
          <w:rFonts w:ascii="Consolas" w:hAnsi="Consolas"/>
          <w:color w:val="282F2B"/>
          <w:sz w:val="14"/>
        </w:rPr>
        <w:t>python evaluate_specimens.py --sample 2</w:t>
      </w:r>
    </w:p>
    <w:p>
      <w:pPr>
        <w:spacing w:after="0" w:line="240" w:lineRule="auto"/>
        <w:ind w:left="173" w:right="115"/>
        <w:shd w:fill="F1F4F1"/>
      </w:pPr>
      <w:r>
        <w:rPr>
          <w:rFonts w:ascii="Consolas" w:hAnsi="Consolas"/>
          <w:color w:val="282F2B"/>
          <w:sz w:val="14"/>
        </w:rPr>
        <w:t>python evaluate_specimens.py --sample 5 --critique</w:t>
      </w:r>
    </w:p>
    <w:p>
      <w:r>
        <w:rPr>
          <w:rFonts w:ascii="Aptos" w:hAnsi="Aptos"/>
        </w:rPr>
        <w:t xml:space="preserve">The optional local classifier is trained separately with </w:t>
      </w:r>
      <w:r>
        <w:rPr>
          <w:rFonts w:ascii="Consolas" w:hAnsi="Consolas"/>
          <w:color w:val="17663E"/>
          <w:sz w:val="16"/>
        </w:rPr>
        <w:t>backend/train_classifier.py</w:t>
      </w:r>
      <w:r>
        <w:rPr>
          <w:rFonts w:ascii="Aptos" w:hAnsi="Aptos"/>
        </w:rPr>
        <w:t>. Its model weights are not part of the source bundle. Without the weights, that optimization is skipped and the Gemini path remains available.</w:t>
      </w:r>
    </w:p>
    <w:p>
      <w:pPr>
        <w:pStyle w:val="Heading2"/>
      </w:pPr>
      <w:r>
        <w:rPr>
          <w:rFonts w:ascii="Aptos" w:hAnsi="Aptos"/>
        </w:rPr>
        <w:t>Runtime Configuration</w:t>
      </w:r>
    </w:p>
    <w:p>
      <w:r>
        <w:rPr>
          <w:rFonts w:ascii="Aptos" w:hAnsi="Aptos"/>
        </w:rPr>
        <w:t xml:space="preserve">Backend variables are documented in </w:t>
      </w:r>
      <w:r>
        <w:rPr>
          <w:rFonts w:ascii="Consolas" w:hAnsi="Consolas"/>
          <w:color w:val="17663E"/>
          <w:sz w:val="16"/>
        </w:rPr>
        <w:t>backend/.env.example</w:t>
      </w:r>
      <w:r>
        <w:rPr>
          <w:rFonts w:ascii="Aptos" w:hAnsi="Aptos"/>
        </w:rPr>
        <w:t xml:space="preserve">; frontend build variables are documented in </w:t>
      </w:r>
      <w:r>
        <w:rPr>
          <w:rFonts w:ascii="Consolas" w:hAnsi="Consolas"/>
          <w:color w:val="17663E"/>
          <w:sz w:val="16"/>
        </w:rPr>
        <w:t>frontend/.env.example</w:t>
      </w:r>
      <w:r>
        <w:rPr>
          <w:rFonts w:ascii="Aptos" w:hAnsi="Aptos"/>
        </w:rPr>
        <w:t>. Common settings include the Gemini model and key, optional Groq/Ollama document-gate settings, database location, frontend API base, and authentication/email settings. Real credentials must be supplied locally and should not be placed in capstone documentation.</w:t>
      </w:r>
    </w:p>
    <w:p>
      <w:r>
        <w:rPr>
          <w:rFonts w:ascii="Aptos" w:hAnsi="Aptos"/>
        </w:rPr>
        <w:t xml:space="preserve">For local development, the backend entry point is </w:t>
      </w:r>
      <w:r>
        <w:rPr>
          <w:rFonts w:ascii="Consolas" w:hAnsi="Consolas"/>
          <w:color w:val="17663E"/>
          <w:sz w:val="16"/>
        </w:rPr>
        <w:t>backend/run.py</w:t>
      </w:r>
      <w:r>
        <w:rPr>
          <w:rFonts w:ascii="Aptos" w:hAnsi="Aptos"/>
        </w:rPr>
        <w:t xml:space="preserve"> and the frontend is built with Vite from </w:t>
      </w:r>
      <w:r>
        <w:rPr>
          <w:rFonts w:ascii="Consolas" w:hAnsi="Consolas"/>
          <w:color w:val="17663E"/>
          <w:sz w:val="16"/>
        </w:rPr>
        <w:t>frontend/</w:t>
      </w:r>
      <w:r>
        <w:rPr>
          <w:rFonts w:ascii="Aptos" w:hAnsi="Aptos"/>
        </w:rPr>
        <w:t>. In the deployed web configuration, the backend can serve the built frontend from the same origin. The full frontend source is React; Capacitor/Android implementation files are intentionally omitted from this summary.</w:t>
      </w:r>
    </w:p>
    <w:p>
      <w:pPr>
        <w:pStyle w:val="Heading2"/>
      </w:pPr>
      <w:r>
        <w:rPr>
          <w:rFonts w:ascii="Aptos" w:hAnsi="Aptos"/>
        </w:rPr>
        <w:t>Scope and Limitations</w:t>
      </w:r>
    </w:p>
    <w:p>
      <w:pPr>
        <w:pStyle w:val="ListBullet"/>
        <w:spacing w:after="20"/>
      </w:pPr>
      <w:r>
        <w:rPr>
          <w:rFonts w:ascii="Aptos" w:hAnsi="Aptos"/>
        </w:rPr>
        <w:t>Image focus, lighting, angle, compression, and resolution affect visible forensic cues.</w:t>
      </w:r>
    </w:p>
    <w:p>
      <w:pPr>
        <w:pStyle w:val="ListBullet"/>
        <w:spacing w:after="20"/>
      </w:pPr>
      <w:r>
        <w:rPr>
          <w:rFonts w:ascii="Aptos" w:hAnsi="Aptos"/>
        </w:rPr>
        <w:t>Some categories overlap visually, and a photograph cannot establish every physical property of the original document.</w:t>
      </w:r>
    </w:p>
    <w:p>
      <w:pPr>
        <w:pStyle w:val="ListBullet"/>
        <w:spacing w:after="20"/>
      </w:pPr>
      <w:r>
        <w:rPr>
          <w:rFonts w:ascii="Aptos" w:hAnsi="Aptos"/>
        </w:rPr>
        <w:t>Model confidence is not statistically calibrated; category and verdict accuracy must be measured against representative held-out data.</w:t>
      </w:r>
    </w:p>
    <w:p>
      <w:pPr>
        <w:pStyle w:val="ListBullet"/>
        <w:spacing w:after="20"/>
      </w:pPr>
      <w:r>
        <w:rPr>
          <w:rFonts w:ascii="Aptos" w:hAnsi="Aptos"/>
        </w:rPr>
        <w:t>The specimen set may not represent real-world documents or the full variety of forgery techniques.</w:t>
      </w:r>
    </w:p>
    <w:p>
      <w:pPr>
        <w:pStyle w:val="ListBullet"/>
        <w:spacing w:after="20"/>
      </w:pPr>
      <w:r>
        <w:rPr>
          <w:rFonts w:ascii="Aptos" w:hAnsi="Aptos"/>
        </w:rPr>
        <w:t>The application provides screening information, not a certified forensic conclusion.</w:t>
      </w:r>
    </w:p>
    <w:p>
      <w:pPr>
        <w:pStyle w:val="Heading2"/>
      </w:pPr>
      <w:r>
        <w:rPr>
          <w:rFonts w:ascii="Aptos" w:hAnsi="Aptos"/>
        </w:rPr>
        <w:t>Primary References in the Project</w:t>
      </w:r>
    </w:p>
    <w:p>
      <w:r>
        <w:rPr>
          <w:rFonts w:ascii="Aptos" w:hAnsi="Aptos"/>
        </w:rPr>
        <w:t xml:space="preserve">The complete, copyable source listings are in </w:t>
      </w:r>
      <w:r>
        <w:rPr>
          <w:rFonts w:ascii="Consolas" w:hAnsi="Consolas"/>
          <w:color w:val="17663E"/>
          <w:sz w:val="16"/>
        </w:rPr>
        <w:t>REVELATOR_COMPLETE_SOURCE.md</w:t>
      </w:r>
      <w:r>
        <w:rPr>
          <w:rFonts w:ascii="Aptos" w:hAnsi="Aptos"/>
        </w:rPr>
        <w:t>. The companion ZIP contains text files and required non-Android binary assets. This summary is an architectural guide; it does not replace the source code or deployment-specific configuration.</w:t>
      </w:r>
    </w:p>
    <w:sectPr w:rsidR="00FC693F" w:rsidRPr="0006063C" w:rsidSect="00034616">
      <w:headerReference w:type="default" r:id="rId9"/>
      <w:footerReference w:type="default" r:id="rId10"/>
      <w:pgSz w:w="12240" w:h="15840"/>
      <w:pgMar w:top="893" w:right="979" w:bottom="835"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C67"/>
        <w:sz w:val="14"/>
      </w:rPr>
      <w:t xml:space="preserve">Revelator system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663E"/>
        <w:sz w:val="14"/>
      </w:rPr>
      <w:t>REVELATOR  |  CAPSTONE SYSTEM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ptos" w:hAnsi="Aptos"/>
      <w:color w:val="282F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174F33"/>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663E"/>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663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74F3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Revelator System Summary</dc:title>
  <dc:subject>Concise portrait-format capstone documentation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