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-164464</wp:posOffset>
            </wp:positionH>
            <wp:positionV relativeFrom="paragraph">
              <wp:posOffset>-583564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Planeación de la segunda fase del proyecto, planeación del SRS y costes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21 de Agosto de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8:00 PM / 20:00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por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Villa Quiñones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Planeación de la fase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discutió y se determinaron los siguientes pasos para la fase 2 del proyecto. Llegando a la conclusión que se deberá empezar con: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SRS (Software Requirements Specification)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Costos (Servidor, dominio, base de datos en la nube, etc…)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Cálculo del los tiempos de éxitos (Metodo Red PERT y Holguras)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planteó la construcción del SRS, empezando en definir los conceptos necesario en tomar, para luego poder: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Asignar las actividades.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Planear el procedimiento (Actividad A al Z)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Mantener una organización de funcionamiento del desarrollo,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Calcular el tiempo esperado de cada actividad y el tiempo de retrasa máximo ara cada uno.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Programar una cita con el cliente para la definición de los requisitos funcionales y no-funcionales.</w:t>
            </w:r>
          </w:p>
        </w:tc>
      </w:tr>
      <w:tr>
        <w:trPr>
          <w:cantSplit w:val="0"/>
          <w:trHeight w:val="559.10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los preparativos de la creación de un prototipo de la interfaz de la página web: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Colores de la empresa.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Letra representativa.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Idea general de lo deseado por el cliente.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BvL2DfWqagT9-0BvmQr5ISzMrt3phLMW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x1MoPzCFe83Zg/1ZFvw/S80NUw==">CgMxLjA4AHIhMXM1VXZzWEQ2eEszQ2JEOWxvanltdU9qVVY2X1M2Q1Vr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