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2143125</wp:posOffset>
            </wp:positionH>
            <wp:positionV relativeFrom="paragraph">
              <wp:posOffset>0</wp:posOffset>
            </wp:positionV>
            <wp:extent cx="1295400" cy="1295400"/>
            <wp:effectExtent b="0" l="0" r="0" t="0"/>
            <wp:wrapNone/>
            <wp:docPr id="114152957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55.9999999999995" w:tblpY="0"/>
        <w:tblW w:w="11070.0" w:type="dxa"/>
        <w:jc w:val="left"/>
        <w:tblInd w:w="-10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10"/>
        <w:gridCol w:w="3460"/>
        <w:tblGridChange w:id="0">
          <w:tblGrid>
            <w:gridCol w:w="7610"/>
            <w:gridCol w:w="3460"/>
          </w:tblGrid>
        </w:tblGridChange>
      </w:tblGrid>
      <w:tr>
        <w:trPr>
          <w:cantSplit w:val="0"/>
          <w:trHeight w:val="65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INFORME DE AVANCE SEMANAL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ceb99" w:val="clear"/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leader="none" w:pos="2712"/>
              </w:tabs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políticas RDIP para Banca Patrimonial y Privada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Abraham López Najera. Semana terminó el: 25/08/2025</w:t>
      </w:r>
    </w:p>
    <w:p w:rsidR="00000000" w:rsidDel="00000000" w:rsidP="00000000" w:rsidRDefault="00000000" w:rsidRPr="00000000" w14:paraId="00000009">
      <w:pPr>
        <w:pBdr>
          <w:top w:color="000000" w:space="1" w:sz="6" w:val="single"/>
          <w:bottom w:color="000000" w:space="1" w:sz="6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De: Equipo 4</w:t>
      </w:r>
    </w:p>
    <w:p w:rsidR="00000000" w:rsidDel="00000000" w:rsidP="00000000" w:rsidRDefault="00000000" w:rsidRPr="00000000" w14:paraId="0000000A">
      <w:pPr>
        <w:pBdr>
          <w:top w:color="000000" w:space="1" w:sz="6" w:val="single"/>
          <w:bottom w:color="000000" w:space="1" w:sz="6" w:val="single"/>
        </w:pBdr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Las tareas importantes terminadas en la semana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25.99999999999966" w:tblpY="0"/>
        <w:tblW w:w="9900.0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8370"/>
        <w:tblGridChange w:id="0">
          <w:tblGrid>
            <w:gridCol w:w="1530"/>
            <w:gridCol w:w="8370"/>
          </w:tblGrid>
        </w:tblGridChange>
      </w:tblGrid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4</w:t>
            </w:r>
          </w:p>
        </w:tc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discutió y se determinaron los siguientes pasos para la fase 2 del proyecto. Llegando a la conclusión que se deberá empezar con: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SRS (Software Requirements Specification)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Costos (Servidor, dominio, base de datos en la nube, etc…)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Cálculo del los tiempos de éxitos (Metodo Red PERT y Holguras)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Documentación avanzada</w:t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explicó cómo se trabajará con el SRS y cómo se estructurará durante su desarrollo.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Documentación avanzada</w:t>
            </w:r>
          </w:p>
        </w:tc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planteó la construcción del SRS, empezando en definir los conceptos necesario en tomar, para luego poder: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Asignar las actividades.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3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Planear el procedimiento (Actividad A al Z)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3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Mantener una organización de funcionamiento del desarrollo,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3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Calcular el tiempo esperado de cada actividad y el tiempo de retrasa máximo ara cada uno. 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Eliezer Abisaí Lopez Pascual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Jaime David Duarte Morales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 los preparativos de la creación de un prototipo de la interfaz de la página web: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Colores de la empresa.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Letra representativa.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Idea general de lo deseado por el cliente.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 plan del proyecto es completar en el siguiente periodo:</w:t>
      </w:r>
    </w:p>
    <w:tbl>
      <w:tblPr>
        <w:tblStyle w:val="Table3"/>
        <w:tblW w:w="9900.0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8370"/>
        <w:tblGridChange w:id="0">
          <w:tblGrid>
            <w:gridCol w:w="1530"/>
            <w:gridCol w:w="8370"/>
          </w:tblGrid>
        </w:tblGridChange>
      </w:tblGrid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Leonardo Chavez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Programar una cita con el cliente para la definición de los requisitos funcionales y no-funcionales.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Problemas del proyecto 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Problemas que afectan el costo del proyecto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]</w:t>
      </w:r>
    </w:p>
    <w:tbl>
      <w:tblPr>
        <w:tblStyle w:val="Table4"/>
        <w:tblW w:w="9900.0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8370"/>
        <w:tblGridChange w:id="0">
          <w:tblGrid>
            <w:gridCol w:w="1530"/>
            <w:gridCol w:w="8370"/>
          </w:tblGrid>
        </w:tblGridChange>
      </w:tblGrid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Administración de problemas 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Problemas que necesitan la atención de la administración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]</w:t>
      </w:r>
    </w:p>
    <w:tbl>
      <w:tblPr>
        <w:tblStyle w:val="Table5"/>
        <w:tblW w:w="9900.0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8370"/>
        <w:tblGridChange w:id="0">
          <w:tblGrid>
            <w:gridCol w:w="1530"/>
            <w:gridCol w:w="8370"/>
          </w:tblGrid>
        </w:tblGridChange>
      </w:tblGrid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232BF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232BF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232BF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232BF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232BF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232BF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232BF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232BF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232BF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232BF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232BF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232BFA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232BF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232BF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232BF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232BF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232BF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232BF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232BF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32BF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232BFA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232B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ubuNO+vK0B2O0QODF5O9V35N0g==">CgMxLjA4AHIhMUdBaGFHR2JLSmh3T0F5d3dIY3JTMV9qa2FoUnk5MjFq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2025-08-11T00:32:00Z</dcterms:created>
  <dc:creator>ARTURO VILLA QUIÑONES</dc:creator>
</cp:coreProperties>
</file>